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65" w:rsidRPr="006712A6" w:rsidRDefault="00462865" w:rsidP="006712A6">
      <w:pPr>
        <w:jc w:val="center"/>
        <w:rPr>
          <w:b/>
        </w:rPr>
      </w:pPr>
      <w:r>
        <w:rPr>
          <w:b/>
        </w:rPr>
        <w:t>JELGAVAS PILSĒTAS PAŠVALDĪBAS 2012.GADA 29.NOVEMBRA SAISTOŠO NOTEIKUMU NR.12-27 „</w:t>
      </w:r>
      <w:r>
        <w:rPr>
          <w:b/>
          <w:bCs/>
        </w:rPr>
        <w:t xml:space="preserve">TRŪCĪGAS UN </w:t>
      </w:r>
      <w:r w:rsidRPr="00EC3899">
        <w:rPr>
          <w:b/>
          <w:bCs/>
        </w:rPr>
        <w:t>MAZNODROŠINĀTAS ĢIMENES (PERSONAS) STATUSA NOTEIKŠANA JELGAVAS PILSĒTAS PAŠVALDĪBĀ</w:t>
      </w:r>
      <w:r w:rsidRPr="00EC3899">
        <w:rPr>
          <w:b/>
        </w:rPr>
        <w:t>”</w:t>
      </w:r>
    </w:p>
    <w:p w:rsidR="00462865" w:rsidRDefault="00462865" w:rsidP="00990DEA">
      <w:pPr>
        <w:jc w:val="center"/>
        <w:rPr>
          <w:b/>
        </w:rPr>
      </w:pPr>
      <w:r>
        <w:rPr>
          <w:b/>
        </w:rPr>
        <w:t xml:space="preserve"> PASKAIDROJUMA RAKSTS</w:t>
      </w:r>
    </w:p>
    <w:p w:rsidR="00462865" w:rsidRDefault="00462865" w:rsidP="00990DEA">
      <w:pPr>
        <w:jc w:val="center"/>
        <w:rPr>
          <w: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625"/>
      </w:tblGrid>
      <w:tr w:rsidR="00462865" w:rsidTr="00BD2BEE">
        <w:tc>
          <w:tcPr>
            <w:tcW w:w="2988" w:type="dxa"/>
          </w:tcPr>
          <w:p w:rsidR="00462865" w:rsidRDefault="00462865">
            <w:pPr>
              <w:spacing w:line="276" w:lineRule="auto"/>
              <w:jc w:val="center"/>
              <w:rPr>
                <w:b/>
                <w:lang w:eastAsia="en-US"/>
              </w:rPr>
            </w:pPr>
            <w:r>
              <w:rPr>
                <w:b/>
                <w:lang w:eastAsia="en-US"/>
              </w:rPr>
              <w:t>Paskaidrojuma raksta sadaļas</w:t>
            </w:r>
          </w:p>
        </w:tc>
        <w:tc>
          <w:tcPr>
            <w:tcW w:w="5625" w:type="dxa"/>
          </w:tcPr>
          <w:p w:rsidR="00462865" w:rsidRDefault="00462865">
            <w:pPr>
              <w:spacing w:line="276" w:lineRule="auto"/>
              <w:jc w:val="center"/>
              <w:rPr>
                <w:b/>
                <w:lang w:eastAsia="en-US"/>
              </w:rPr>
            </w:pPr>
            <w:r>
              <w:rPr>
                <w:b/>
                <w:lang w:eastAsia="en-US"/>
              </w:rPr>
              <w:t>Norādāmā informācija</w:t>
            </w:r>
          </w:p>
        </w:tc>
      </w:tr>
      <w:tr w:rsidR="00462865" w:rsidTr="00B33DE1">
        <w:trPr>
          <w:trHeight w:val="2942"/>
        </w:trPr>
        <w:tc>
          <w:tcPr>
            <w:tcW w:w="2988" w:type="dxa"/>
          </w:tcPr>
          <w:p w:rsidR="00462865" w:rsidRDefault="00462865">
            <w:pPr>
              <w:spacing w:line="276" w:lineRule="auto"/>
              <w:rPr>
                <w:lang w:eastAsia="en-US"/>
              </w:rPr>
            </w:pPr>
            <w:r>
              <w:rPr>
                <w:lang w:eastAsia="en-US"/>
              </w:rPr>
              <w:t>1. Projekta nepieciešamības pamatojums</w:t>
            </w:r>
          </w:p>
        </w:tc>
        <w:tc>
          <w:tcPr>
            <w:tcW w:w="5625" w:type="dxa"/>
          </w:tcPr>
          <w:p w:rsidR="00462865" w:rsidRDefault="00462865" w:rsidP="00D55FEE">
            <w:pPr>
              <w:spacing w:line="276" w:lineRule="auto"/>
              <w:jc w:val="both"/>
              <w:rPr>
                <w:lang w:eastAsia="en-US"/>
              </w:rPr>
            </w:pPr>
            <w:r w:rsidRPr="001558E4">
              <w:rPr>
                <w:lang w:eastAsia="en-US"/>
              </w:rPr>
              <w:t>Jelgavas pilsētas pašvaldības saistošie noteikumi „Trūcīgas un maznodrošinātas ģimenes (personas) statusa noteikšana Jelgavas pilsētas pašvaldībā” (turpmāk - noteikumi) ir izstrādāti, pamatojoties uz</w:t>
            </w:r>
            <w:r w:rsidRPr="001558E4">
              <w:rPr>
                <w:iCs/>
              </w:rPr>
              <w:t xml:space="preserve"> Sociālo pakalpojumu un sociālās palīdzības likuma 33.panta otro daļu,</w:t>
            </w:r>
            <w:r>
              <w:rPr>
                <w:iCs/>
              </w:rPr>
              <w:t xml:space="preserve"> </w:t>
            </w:r>
            <w:r w:rsidRPr="001558E4">
              <w:rPr>
                <w:iCs/>
              </w:rPr>
              <w:t>likuma „Par palīdzību dzīvokļa jautājumu risināšanā” 14.panta</w:t>
            </w:r>
            <w:r w:rsidRPr="001558E4">
              <w:rPr>
                <w:lang w:eastAsia="en-US"/>
              </w:rPr>
              <w:t xml:space="preserve"> sesto daļu un</w:t>
            </w:r>
            <w:r>
              <w:rPr>
                <w:lang w:eastAsia="en-US"/>
              </w:rPr>
              <w:t xml:space="preserve"> Ministru kabineta </w:t>
            </w:r>
            <w:r w:rsidRPr="001558E4">
              <w:rPr>
                <w:lang w:eastAsia="en-US"/>
              </w:rPr>
              <w:t>2010.</w:t>
            </w:r>
            <w:r>
              <w:rPr>
                <w:lang w:eastAsia="en-US"/>
              </w:rPr>
              <w:t>gada 30.marta</w:t>
            </w:r>
            <w:r w:rsidRPr="001558E4">
              <w:rPr>
                <w:lang w:eastAsia="en-US"/>
              </w:rPr>
              <w:t xml:space="preserve"> noteikumu Nr.299 „Noteikumi par ģimenes vai atsevišķi dzīvojošas personas atzīšanu par trūcīgu” 19.4. apakšpunktu (turpmāk – MK noteikumi). </w:t>
            </w:r>
          </w:p>
          <w:p w:rsidR="00462865" w:rsidRPr="001558E4" w:rsidRDefault="00462865" w:rsidP="00D55FEE">
            <w:pPr>
              <w:spacing w:line="276" w:lineRule="auto"/>
              <w:jc w:val="both"/>
              <w:rPr>
                <w:iCs/>
              </w:rPr>
            </w:pPr>
          </w:p>
        </w:tc>
      </w:tr>
      <w:tr w:rsidR="00462865" w:rsidTr="00BD2BEE">
        <w:tc>
          <w:tcPr>
            <w:tcW w:w="2988" w:type="dxa"/>
          </w:tcPr>
          <w:p w:rsidR="00462865" w:rsidRDefault="00462865">
            <w:pPr>
              <w:spacing w:line="276" w:lineRule="auto"/>
              <w:rPr>
                <w:lang w:eastAsia="en-US"/>
              </w:rPr>
            </w:pPr>
            <w:r>
              <w:rPr>
                <w:lang w:eastAsia="en-US"/>
              </w:rPr>
              <w:t>2. Īss projekta satura izklāsts</w:t>
            </w:r>
          </w:p>
        </w:tc>
        <w:tc>
          <w:tcPr>
            <w:tcW w:w="5625" w:type="dxa"/>
          </w:tcPr>
          <w:p w:rsidR="00462865" w:rsidRPr="001558E4" w:rsidRDefault="00462865" w:rsidP="00B32319">
            <w:pPr>
              <w:spacing w:line="276" w:lineRule="auto"/>
              <w:jc w:val="both"/>
              <w:rPr>
                <w:lang w:eastAsia="en-US"/>
              </w:rPr>
            </w:pPr>
            <w:r w:rsidRPr="001558E4">
              <w:rPr>
                <w:lang w:eastAsia="en-US"/>
              </w:rPr>
              <w:t>Kārtību, kādā ģimene vai atsevišķi dzīvojoša persona atzīstama par trūcīgu, nosaka</w:t>
            </w:r>
            <w:r>
              <w:rPr>
                <w:lang w:eastAsia="en-US"/>
              </w:rPr>
              <w:t xml:space="preserve"> </w:t>
            </w:r>
            <w:r w:rsidRPr="001558E4">
              <w:rPr>
                <w:lang w:eastAsia="en-US"/>
              </w:rPr>
              <w:t>MK noteikumi. Atbilstoši MK noteikumu 19.4.apakšpunktam pašvaldība saistošajos noteikumos var noteikt papildus kritērijus, kurus neņem vērā nosakot ģimenes vai atsevišķi dzīvojošas personas atbilstību trūcīgās ģimenes (personas) statusam. Līdz šim Jelgavas pilsētas pašvaldībā šādi kritēriji nebija noteikti.</w:t>
            </w:r>
          </w:p>
          <w:p w:rsidR="00462865" w:rsidRDefault="00462865" w:rsidP="00B32319">
            <w:pPr>
              <w:spacing w:line="276" w:lineRule="auto"/>
              <w:jc w:val="both"/>
            </w:pPr>
            <w:r w:rsidRPr="001558E4">
              <w:t>Jelga</w:t>
            </w:r>
            <w:r>
              <w:t>vas pilsētas pašvaldībā</w:t>
            </w:r>
            <w:r w:rsidRPr="001558E4">
              <w:t xml:space="preserve"> maznodrošinātas ģimenes (personas) statuss netiek noteikts atšķirīgs no</w:t>
            </w:r>
            <w:r>
              <w:t xml:space="preserve"> trūcīg</w:t>
            </w:r>
            <w:r w:rsidRPr="001558E4">
              <w:t>as ģimenes (personas) statusa.</w:t>
            </w:r>
          </w:p>
          <w:p w:rsidR="00462865" w:rsidRPr="001558E4" w:rsidRDefault="00462865" w:rsidP="00B32319">
            <w:pPr>
              <w:spacing w:line="276" w:lineRule="auto"/>
              <w:jc w:val="both"/>
            </w:pPr>
          </w:p>
        </w:tc>
      </w:tr>
      <w:tr w:rsidR="00462865" w:rsidTr="00BD2BEE">
        <w:tc>
          <w:tcPr>
            <w:tcW w:w="2988" w:type="dxa"/>
          </w:tcPr>
          <w:p w:rsidR="00462865" w:rsidRDefault="00462865" w:rsidP="00BB2574">
            <w:pPr>
              <w:spacing w:line="276" w:lineRule="auto"/>
              <w:rPr>
                <w:lang w:eastAsia="en-US"/>
              </w:rPr>
            </w:pPr>
            <w:r>
              <w:rPr>
                <w:lang w:eastAsia="en-US"/>
              </w:rPr>
              <w:t>3. Normatīvā akta projekta būtība</w:t>
            </w:r>
          </w:p>
        </w:tc>
        <w:tc>
          <w:tcPr>
            <w:tcW w:w="5625" w:type="dxa"/>
          </w:tcPr>
          <w:p w:rsidR="00462865" w:rsidRDefault="00462865" w:rsidP="0071692D">
            <w:pPr>
              <w:spacing w:line="276" w:lineRule="auto"/>
              <w:jc w:val="both"/>
            </w:pPr>
            <w:r>
              <w:rPr>
                <w:lang w:eastAsia="en-US"/>
              </w:rPr>
              <w:t>Noteikumos ir noteikti papildus kritēriji - kas nav uzskatāmi par īpašumu, nosakot ģimenes vai atsevišķi dzīvojošas personas atbilstību trūcīgas un</w:t>
            </w:r>
            <w:r w:rsidRPr="00D01B17">
              <w:rPr>
                <w:lang w:eastAsia="en-US"/>
              </w:rPr>
              <w:t xml:space="preserve"> maznodrošinātas ģimenes (personas) statusam. Par īpašumu neuzskata:</w:t>
            </w:r>
            <w:r w:rsidRPr="00D01B17">
              <w:t xml:space="preserve"> nekustamo īpašumu, kura kopējā kadastrālā vērtība ir mazāka par </w:t>
            </w:r>
            <w:smartTag w:uri="schemas-tilde-lv/tildestengine" w:element="currency2">
              <w:smartTagPr>
                <w:attr w:name="currency_text" w:val="Ls"/>
                <w:attr w:name="currency_value" w:val="8000"/>
                <w:attr w:name="currency_key" w:val="LVL"/>
                <w:attr w:name="currency_id" w:val="48"/>
              </w:smartTagPr>
              <w:r w:rsidRPr="00D01B17">
                <w:t>Ls 8000</w:t>
              </w:r>
            </w:smartTag>
            <w:r w:rsidRPr="00D01B17">
              <w:t xml:space="preserve"> (astoņiem tūkstošiem </w:t>
            </w:r>
            <w:smartTag w:uri="schemas-tilde-lv/tildestengine" w:element="currency2">
              <w:smartTagPr>
                <w:attr w:name="currency_text" w:val="latu"/>
                <w:attr w:name="currency_value" w:val="1"/>
                <w:attr w:name="currency_key" w:val="LVL"/>
                <w:attr w:name="currency_id" w:val="48"/>
              </w:smartTagPr>
              <w:r w:rsidRPr="00D01B17">
                <w:t>latu</w:t>
              </w:r>
            </w:smartTag>
            <w:r w:rsidRPr="00D01B17">
              <w:t>),</w:t>
            </w:r>
            <w:r w:rsidRPr="00D01B17">
              <w:rPr>
                <w:lang w:eastAsia="en-US"/>
              </w:rPr>
              <w:t xml:space="preserve"> vienu automobili vai vienu airu laivu, kas ģimenes (personas) īpašumā ir ilgāk par 24 (divdesmit četriem) mēnešiem, kā arī katram ģimenes loceklim vienu motociklu vai motorolleru vai mopēdu</w:t>
            </w:r>
            <w:r w:rsidRPr="00BB2574">
              <w:rPr>
                <w:lang w:eastAsia="en-US"/>
              </w:rPr>
              <w:t>.</w:t>
            </w:r>
          </w:p>
        </w:tc>
      </w:tr>
      <w:tr w:rsidR="00462865" w:rsidTr="00BD2BEE">
        <w:tc>
          <w:tcPr>
            <w:tcW w:w="2988" w:type="dxa"/>
          </w:tcPr>
          <w:p w:rsidR="00462865" w:rsidRDefault="00462865">
            <w:pPr>
              <w:spacing w:line="276" w:lineRule="auto"/>
              <w:rPr>
                <w:lang w:eastAsia="en-US"/>
              </w:rPr>
            </w:pPr>
            <w:r>
              <w:rPr>
                <w:lang w:eastAsia="en-US"/>
              </w:rPr>
              <w:t>4. Informācija par plānoto projekta ietekmi uz budžetu</w:t>
            </w:r>
          </w:p>
        </w:tc>
        <w:tc>
          <w:tcPr>
            <w:tcW w:w="5625" w:type="dxa"/>
          </w:tcPr>
          <w:p w:rsidR="00462865" w:rsidRDefault="00462865">
            <w:pPr>
              <w:spacing w:line="276" w:lineRule="auto"/>
              <w:jc w:val="both"/>
              <w:rPr>
                <w:lang w:eastAsia="en-US"/>
              </w:rPr>
            </w:pPr>
            <w:r>
              <w:rPr>
                <w:lang w:eastAsia="en-US"/>
              </w:rPr>
              <w:t>Noteikumu izpildei nav nepieciešams veidot jaunas institūcijas vai veidot jaunas amata vietas.</w:t>
            </w:r>
          </w:p>
        </w:tc>
      </w:tr>
      <w:tr w:rsidR="00462865" w:rsidTr="00BD2BEE">
        <w:tc>
          <w:tcPr>
            <w:tcW w:w="2988" w:type="dxa"/>
          </w:tcPr>
          <w:p w:rsidR="00462865" w:rsidRDefault="00462865">
            <w:pPr>
              <w:spacing w:line="276" w:lineRule="auto"/>
              <w:rPr>
                <w:lang w:eastAsia="en-US"/>
              </w:rPr>
            </w:pPr>
            <w:r>
              <w:rPr>
                <w:lang w:eastAsia="en-US"/>
              </w:rPr>
              <w:t>5. Informācija par plānoto projekta ietekmi uz sociāli ekonomisko stāvokli (uzņēmējdarbības vidi) pašvaldības teritorijā</w:t>
            </w:r>
          </w:p>
        </w:tc>
        <w:tc>
          <w:tcPr>
            <w:tcW w:w="5625" w:type="dxa"/>
          </w:tcPr>
          <w:p w:rsidR="00462865" w:rsidRDefault="00462865">
            <w:pPr>
              <w:spacing w:line="276" w:lineRule="auto"/>
              <w:jc w:val="both"/>
              <w:rPr>
                <w:lang w:eastAsia="en-US"/>
              </w:rPr>
            </w:pPr>
            <w:r>
              <w:rPr>
                <w:lang w:eastAsia="en-US"/>
              </w:rPr>
              <w:t>Nav attiecināms.</w:t>
            </w:r>
          </w:p>
        </w:tc>
      </w:tr>
      <w:tr w:rsidR="00462865" w:rsidTr="00BD2BEE">
        <w:tc>
          <w:tcPr>
            <w:tcW w:w="2988" w:type="dxa"/>
          </w:tcPr>
          <w:p w:rsidR="00462865" w:rsidRDefault="00462865">
            <w:pPr>
              <w:spacing w:line="276" w:lineRule="auto"/>
              <w:rPr>
                <w:lang w:eastAsia="en-US"/>
              </w:rPr>
            </w:pPr>
            <w:r>
              <w:rPr>
                <w:lang w:eastAsia="en-US"/>
              </w:rPr>
              <w:t>6. Normatīvā akta ietekme uz sabiedrību</w:t>
            </w:r>
          </w:p>
        </w:tc>
        <w:tc>
          <w:tcPr>
            <w:tcW w:w="5625" w:type="dxa"/>
          </w:tcPr>
          <w:p w:rsidR="00462865" w:rsidRDefault="00462865" w:rsidP="0071692D">
            <w:pPr>
              <w:spacing w:line="276" w:lineRule="auto"/>
              <w:jc w:val="both"/>
              <w:rPr>
                <w:lang w:eastAsia="en-US"/>
              </w:rPr>
            </w:pPr>
            <w:r w:rsidRPr="001558E4">
              <w:rPr>
                <w:lang w:eastAsia="en-US"/>
              </w:rPr>
              <w:t xml:space="preserve">Trūcīgas </w:t>
            </w:r>
            <w:r>
              <w:rPr>
                <w:lang w:eastAsia="en-US"/>
              </w:rPr>
              <w:t>un maznodrošinātas ģimenes (personas) statusu var noteikt personām, kuras dzīvesvieta deklarēta Jelgavas pilsētas pašvaldības administratīvajā teritorijā un kuras normatīvajos aktos noteiktajā kārtībā atbilst trūcīgas ģimenes (personas) statusam un papildus noteiktajiem kritērijiem.</w:t>
            </w:r>
          </w:p>
        </w:tc>
      </w:tr>
      <w:tr w:rsidR="00462865" w:rsidTr="00BD2BEE">
        <w:tc>
          <w:tcPr>
            <w:tcW w:w="2988" w:type="dxa"/>
          </w:tcPr>
          <w:p w:rsidR="00462865" w:rsidRDefault="00462865">
            <w:pPr>
              <w:spacing w:line="276" w:lineRule="auto"/>
              <w:rPr>
                <w:lang w:eastAsia="en-US"/>
              </w:rPr>
            </w:pPr>
            <w:r>
              <w:rPr>
                <w:lang w:eastAsia="en-US"/>
              </w:rPr>
              <w:t>7. Informācija par administratīvajām procedūrām</w:t>
            </w:r>
          </w:p>
        </w:tc>
        <w:tc>
          <w:tcPr>
            <w:tcW w:w="5625" w:type="dxa"/>
          </w:tcPr>
          <w:p w:rsidR="00462865" w:rsidRDefault="00462865">
            <w:pPr>
              <w:spacing w:line="276" w:lineRule="auto"/>
              <w:jc w:val="both"/>
              <w:rPr>
                <w:lang w:eastAsia="en-US"/>
              </w:rPr>
            </w:pPr>
            <w:r>
              <w:rPr>
                <w:lang w:eastAsia="en-US"/>
              </w:rPr>
              <w:t>Noteikumu izpildi nodrošinās Jelgavas pilsētas pašvaldības iestāde „Jelgavas sociālo lietu pārvalde”.</w:t>
            </w:r>
          </w:p>
        </w:tc>
      </w:tr>
      <w:tr w:rsidR="00462865" w:rsidTr="00BD2BEE">
        <w:tc>
          <w:tcPr>
            <w:tcW w:w="2988" w:type="dxa"/>
          </w:tcPr>
          <w:p w:rsidR="00462865" w:rsidRDefault="00462865">
            <w:pPr>
              <w:spacing w:line="276" w:lineRule="auto"/>
              <w:rPr>
                <w:lang w:eastAsia="en-US"/>
              </w:rPr>
            </w:pPr>
            <w:r>
              <w:rPr>
                <w:lang w:eastAsia="en-US"/>
              </w:rPr>
              <w:t>8. Informācija par konsultācijām ar sabiedrības pārstāvjiem</w:t>
            </w:r>
          </w:p>
        </w:tc>
        <w:tc>
          <w:tcPr>
            <w:tcW w:w="5625" w:type="dxa"/>
          </w:tcPr>
          <w:p w:rsidR="00462865" w:rsidRDefault="00462865">
            <w:pPr>
              <w:spacing w:line="276" w:lineRule="auto"/>
              <w:jc w:val="both"/>
              <w:rPr>
                <w:lang w:eastAsia="en-US"/>
              </w:rPr>
            </w:pPr>
            <w:r>
              <w:rPr>
                <w:lang w:eastAsia="en-US"/>
              </w:rPr>
              <w:t xml:space="preserve">Noteikumu projekts konceptuāli apspriests un atbalstīts Jelgavas pilsētas domes Sociālo lietu konsultatīvajā komisijā. </w:t>
            </w:r>
          </w:p>
        </w:tc>
      </w:tr>
      <w:tr w:rsidR="00462865" w:rsidTr="00BD2BEE">
        <w:tc>
          <w:tcPr>
            <w:tcW w:w="2988" w:type="dxa"/>
          </w:tcPr>
          <w:p w:rsidR="00462865" w:rsidRDefault="00462865">
            <w:pPr>
              <w:spacing w:line="276" w:lineRule="auto"/>
              <w:rPr>
                <w:lang w:eastAsia="en-US"/>
              </w:rPr>
            </w:pPr>
            <w:r>
              <w:rPr>
                <w:lang w:eastAsia="en-US"/>
              </w:rPr>
              <w:t>9. Sabiedrības informēšana par normatīvo aktu</w:t>
            </w:r>
          </w:p>
        </w:tc>
        <w:tc>
          <w:tcPr>
            <w:tcW w:w="5625" w:type="dxa"/>
          </w:tcPr>
          <w:p w:rsidR="00462865" w:rsidRDefault="00462865">
            <w:pPr>
              <w:spacing w:line="276" w:lineRule="auto"/>
              <w:jc w:val="both"/>
              <w:rPr>
                <w:lang w:eastAsia="en-US"/>
              </w:rPr>
            </w:pPr>
            <w:r>
              <w:rPr>
                <w:lang w:eastAsia="en-US"/>
              </w:rPr>
              <w:t xml:space="preserve">Noteikumi tiks publicēti laikrakstā „Latvijas Vēstnesis”, Vides aizsardzības un reģionālās attīstības ministrijas mājas lapā, portālā </w:t>
            </w:r>
            <w:hyperlink r:id="rId6" w:history="1">
              <w:r>
                <w:rPr>
                  <w:rStyle w:val="Hyperlink"/>
                  <w:lang w:eastAsia="en-US"/>
                </w:rPr>
                <w:t>www.likumi.lv</w:t>
              </w:r>
            </w:hyperlink>
            <w:r>
              <w:rPr>
                <w:lang w:eastAsia="en-US"/>
              </w:rPr>
              <w:t xml:space="preserve">, Jelgavas pilsētas pašvaldības mājas lapā </w:t>
            </w:r>
            <w:hyperlink r:id="rId7" w:history="1">
              <w:r>
                <w:rPr>
                  <w:rStyle w:val="Hyperlink"/>
                  <w:lang w:eastAsia="en-US"/>
                </w:rPr>
                <w:t>www.jelgava.lv</w:t>
              </w:r>
            </w:hyperlink>
            <w:r>
              <w:rPr>
                <w:lang w:eastAsia="en-US"/>
              </w:rPr>
              <w:t>.</w:t>
            </w:r>
          </w:p>
        </w:tc>
      </w:tr>
    </w:tbl>
    <w:p w:rsidR="00462865" w:rsidRDefault="00462865" w:rsidP="00990DEA"/>
    <w:p w:rsidR="00462865" w:rsidRDefault="00462865" w:rsidP="00990DEA"/>
    <w:p w:rsidR="00462865" w:rsidRDefault="00462865" w:rsidP="00990DEA"/>
    <w:p w:rsidR="00462865" w:rsidRDefault="00462865" w:rsidP="00990DEA">
      <w:r>
        <w:t xml:space="preserve">Jelgavas pilsētas domes priekšsēdētājs </w:t>
      </w:r>
      <w:r>
        <w:tab/>
      </w:r>
      <w:r>
        <w:tab/>
      </w:r>
      <w:r>
        <w:tab/>
      </w:r>
      <w:r>
        <w:tab/>
      </w:r>
      <w:r>
        <w:tab/>
        <w:t>A.Rāviņš</w:t>
      </w:r>
    </w:p>
    <w:p w:rsidR="00462865" w:rsidRDefault="00462865" w:rsidP="00990DEA">
      <w:bookmarkStart w:id="0" w:name="_GoBack"/>
      <w:bookmarkEnd w:id="0"/>
    </w:p>
    <w:sectPr w:rsidR="00462865" w:rsidSect="00023C51">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865" w:rsidRDefault="00462865" w:rsidP="00612D79">
      <w:r>
        <w:separator/>
      </w:r>
    </w:p>
  </w:endnote>
  <w:endnote w:type="continuationSeparator" w:id="0">
    <w:p w:rsidR="00462865" w:rsidRDefault="00462865" w:rsidP="00612D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65" w:rsidRDefault="004628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65" w:rsidRDefault="00462865">
    <w:pPr>
      <w:pStyle w:val="Footer"/>
      <w:jc w:val="center"/>
    </w:pPr>
    <w:fldSimple w:instr=" PAGE   \* MERGEFORMAT ">
      <w:r>
        <w:rPr>
          <w:noProof/>
        </w:rPr>
        <w:t>2</w:t>
      </w:r>
    </w:fldSimple>
  </w:p>
  <w:p w:rsidR="00462865" w:rsidRDefault="004628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65" w:rsidRDefault="00462865" w:rsidP="007D292E">
    <w:pPr>
      <w:pStyle w:val="Footer"/>
      <w:tabs>
        <w:tab w:val="clear" w:pos="8306"/>
        <w:tab w:val="right" w:pos="831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865" w:rsidRDefault="00462865" w:rsidP="00612D79">
      <w:r>
        <w:separator/>
      </w:r>
    </w:p>
  </w:footnote>
  <w:footnote w:type="continuationSeparator" w:id="0">
    <w:p w:rsidR="00462865" w:rsidRDefault="00462865" w:rsidP="00612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65" w:rsidRDefault="004628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65" w:rsidRDefault="004628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65" w:rsidRDefault="004628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DEA"/>
    <w:rsid w:val="00003513"/>
    <w:rsid w:val="00017389"/>
    <w:rsid w:val="00023C51"/>
    <w:rsid w:val="00074265"/>
    <w:rsid w:val="000824E8"/>
    <w:rsid w:val="000900D0"/>
    <w:rsid w:val="00095282"/>
    <w:rsid w:val="000A537F"/>
    <w:rsid w:val="000A5B3E"/>
    <w:rsid w:val="000C6BD4"/>
    <w:rsid w:val="000D0484"/>
    <w:rsid w:val="000D63AB"/>
    <w:rsid w:val="000E1A71"/>
    <w:rsid w:val="00110FC3"/>
    <w:rsid w:val="001212EE"/>
    <w:rsid w:val="001321FF"/>
    <w:rsid w:val="00133A6A"/>
    <w:rsid w:val="00143D5F"/>
    <w:rsid w:val="001558E4"/>
    <w:rsid w:val="0015759F"/>
    <w:rsid w:val="001858D5"/>
    <w:rsid w:val="001C345E"/>
    <w:rsid w:val="001C660C"/>
    <w:rsid w:val="001E1783"/>
    <w:rsid w:val="00237FB2"/>
    <w:rsid w:val="002460CE"/>
    <w:rsid w:val="00250D24"/>
    <w:rsid w:val="0026126B"/>
    <w:rsid w:val="002A6983"/>
    <w:rsid w:val="002B0B7C"/>
    <w:rsid w:val="002D7100"/>
    <w:rsid w:val="002E78C6"/>
    <w:rsid w:val="002F7CA0"/>
    <w:rsid w:val="00322932"/>
    <w:rsid w:val="003254D9"/>
    <w:rsid w:val="00334244"/>
    <w:rsid w:val="00334D37"/>
    <w:rsid w:val="00337CA2"/>
    <w:rsid w:val="00337F7E"/>
    <w:rsid w:val="00371D8E"/>
    <w:rsid w:val="00381FEF"/>
    <w:rsid w:val="00395A26"/>
    <w:rsid w:val="00397885"/>
    <w:rsid w:val="003B6565"/>
    <w:rsid w:val="003E4643"/>
    <w:rsid w:val="00426FA6"/>
    <w:rsid w:val="00434EE5"/>
    <w:rsid w:val="00443A7C"/>
    <w:rsid w:val="0045002D"/>
    <w:rsid w:val="00450F9F"/>
    <w:rsid w:val="00461DD1"/>
    <w:rsid w:val="00462865"/>
    <w:rsid w:val="00502B38"/>
    <w:rsid w:val="00524D51"/>
    <w:rsid w:val="0056353D"/>
    <w:rsid w:val="00570C4C"/>
    <w:rsid w:val="00607B4B"/>
    <w:rsid w:val="00612D79"/>
    <w:rsid w:val="00632F24"/>
    <w:rsid w:val="0063601B"/>
    <w:rsid w:val="006712A6"/>
    <w:rsid w:val="00680B00"/>
    <w:rsid w:val="006C393E"/>
    <w:rsid w:val="006C56D7"/>
    <w:rsid w:val="00707898"/>
    <w:rsid w:val="0071692D"/>
    <w:rsid w:val="00734D01"/>
    <w:rsid w:val="007A6F35"/>
    <w:rsid w:val="007B0258"/>
    <w:rsid w:val="007D292E"/>
    <w:rsid w:val="007F74EF"/>
    <w:rsid w:val="007F7785"/>
    <w:rsid w:val="00826A2C"/>
    <w:rsid w:val="0083220B"/>
    <w:rsid w:val="00840E20"/>
    <w:rsid w:val="00870F44"/>
    <w:rsid w:val="00877170"/>
    <w:rsid w:val="008A1C6D"/>
    <w:rsid w:val="008B339A"/>
    <w:rsid w:val="008B42F9"/>
    <w:rsid w:val="008D7E90"/>
    <w:rsid w:val="00944712"/>
    <w:rsid w:val="0095679E"/>
    <w:rsid w:val="0096253B"/>
    <w:rsid w:val="00962E8B"/>
    <w:rsid w:val="00990DEA"/>
    <w:rsid w:val="009A2066"/>
    <w:rsid w:val="009A557D"/>
    <w:rsid w:val="00A8076D"/>
    <w:rsid w:val="00A81724"/>
    <w:rsid w:val="00A950D5"/>
    <w:rsid w:val="00AB34E8"/>
    <w:rsid w:val="00AD3400"/>
    <w:rsid w:val="00AF7741"/>
    <w:rsid w:val="00B13A6E"/>
    <w:rsid w:val="00B32319"/>
    <w:rsid w:val="00B33DE1"/>
    <w:rsid w:val="00B515CA"/>
    <w:rsid w:val="00B5561C"/>
    <w:rsid w:val="00B62E65"/>
    <w:rsid w:val="00B65A69"/>
    <w:rsid w:val="00B76D3A"/>
    <w:rsid w:val="00BA7E09"/>
    <w:rsid w:val="00BB2574"/>
    <w:rsid w:val="00BB5CDA"/>
    <w:rsid w:val="00BD2BEE"/>
    <w:rsid w:val="00BD39B3"/>
    <w:rsid w:val="00C2610A"/>
    <w:rsid w:val="00C3757A"/>
    <w:rsid w:val="00C426D7"/>
    <w:rsid w:val="00C6640A"/>
    <w:rsid w:val="00CB434A"/>
    <w:rsid w:val="00CC0CE8"/>
    <w:rsid w:val="00CD7CA0"/>
    <w:rsid w:val="00D01B17"/>
    <w:rsid w:val="00D145BC"/>
    <w:rsid w:val="00D44525"/>
    <w:rsid w:val="00D4537C"/>
    <w:rsid w:val="00D55FEE"/>
    <w:rsid w:val="00DC379A"/>
    <w:rsid w:val="00E50F9E"/>
    <w:rsid w:val="00E51A78"/>
    <w:rsid w:val="00EA4303"/>
    <w:rsid w:val="00EA57C3"/>
    <w:rsid w:val="00EC3899"/>
    <w:rsid w:val="00ED1B60"/>
    <w:rsid w:val="00EF0623"/>
    <w:rsid w:val="00EF46C7"/>
    <w:rsid w:val="00F11D06"/>
    <w:rsid w:val="00F6242B"/>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DE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90DEA"/>
    <w:rPr>
      <w:rFonts w:cs="Times New Roman"/>
      <w:color w:val="0000FF"/>
      <w:u w:val="single"/>
    </w:rPr>
  </w:style>
  <w:style w:type="paragraph" w:styleId="Header">
    <w:name w:val="header"/>
    <w:basedOn w:val="Normal"/>
    <w:link w:val="HeaderChar"/>
    <w:uiPriority w:val="99"/>
    <w:rsid w:val="00612D79"/>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2D79"/>
    <w:rPr>
      <w:rFonts w:ascii="Times New Roman" w:hAnsi="Times New Roman" w:cs="Times New Roman"/>
      <w:sz w:val="24"/>
      <w:lang w:eastAsia="lv-LV"/>
    </w:rPr>
  </w:style>
  <w:style w:type="paragraph" w:styleId="Footer">
    <w:name w:val="footer"/>
    <w:basedOn w:val="Normal"/>
    <w:link w:val="FooterChar"/>
    <w:uiPriority w:val="99"/>
    <w:rsid w:val="00612D79"/>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2D79"/>
    <w:rPr>
      <w:rFonts w:ascii="Times New Roman" w:hAnsi="Times New Roman" w:cs="Times New Roman"/>
      <w:sz w:val="24"/>
      <w:lang w:eastAsia="lv-LV"/>
    </w:rPr>
  </w:style>
  <w:style w:type="paragraph" w:styleId="BalloonText">
    <w:name w:val="Balloon Text"/>
    <w:basedOn w:val="Normal"/>
    <w:link w:val="BalloonTextChar"/>
    <w:uiPriority w:val="99"/>
    <w:semiHidden/>
    <w:rsid w:val="00612D79"/>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2D79"/>
    <w:rPr>
      <w:rFonts w:ascii="Tahoma" w:hAnsi="Tahoma" w:cs="Times New Roman"/>
      <w:sz w:val="16"/>
      <w:lang w:eastAsia="lv-LV"/>
    </w:rPr>
  </w:style>
</w:styles>
</file>

<file path=word/webSettings.xml><?xml version="1.0" encoding="utf-8"?>
<w:webSettings xmlns:r="http://schemas.openxmlformats.org/officeDocument/2006/relationships" xmlns:w="http://schemas.openxmlformats.org/wordprocessingml/2006/main">
  <w:divs>
    <w:div w:id="1044599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jelgava.l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kumi.lv"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Pages>
  <Words>2077</Words>
  <Characters>1185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PAŠVALDĪBAS 2012</dc:title>
  <dc:subject/>
  <dc:creator>Jeļena Laškova</dc:creator>
  <cp:keywords/>
  <dc:description/>
  <cp:lastModifiedBy>Spīdola Ozoliņa</cp:lastModifiedBy>
  <cp:revision>8</cp:revision>
  <cp:lastPrinted>2012-11-29T10:17:00Z</cp:lastPrinted>
  <dcterms:created xsi:type="dcterms:W3CDTF">2012-11-07T06:32:00Z</dcterms:created>
  <dcterms:modified xsi:type="dcterms:W3CDTF">2012-11-29T10:17:00Z</dcterms:modified>
</cp:coreProperties>
</file>