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23" w:rsidRPr="002F15EC" w:rsidRDefault="009D5723" w:rsidP="009D0B1D">
      <w:pPr>
        <w:jc w:val="center"/>
        <w:rPr>
          <w:b/>
          <w:bCs/>
        </w:rPr>
      </w:pPr>
      <w:r>
        <w:rPr>
          <w:b/>
        </w:rPr>
        <w:t>JELGAVAS PILSĒTAS PAŠVALDĪBAS 2012.GADA 29.NOVEMBRA SAISTOŠO NOTEIKUMU NR.12-28 „GROZĪJUMS JELGAVAS PILSĒTAS PAŠVALDĪBAS 2006.GADA</w:t>
      </w:r>
      <w:r>
        <w:rPr>
          <w:b/>
          <w:bCs/>
          <w:szCs w:val="44"/>
        </w:rPr>
        <w:t xml:space="preserve"> 23.MARTA</w:t>
      </w:r>
      <w:r>
        <w:rPr>
          <w:b/>
        </w:rPr>
        <w:t xml:space="preserve"> SAISTOŠAJOS NOTEIKUMOS Nr.119</w:t>
      </w:r>
      <w:r>
        <w:rPr>
          <w:b/>
          <w:bCs/>
        </w:rPr>
        <w:t xml:space="preserve">„PAR PAŠVALDĪBAS PALĪDZĪBU AUDŽUĢIMENĒM”” </w:t>
      </w:r>
    </w:p>
    <w:p w:rsidR="009D5723" w:rsidRDefault="009D5723" w:rsidP="009D0B1D">
      <w:pPr>
        <w:jc w:val="center"/>
        <w:rPr>
          <w:b/>
        </w:rPr>
      </w:pPr>
      <w:r>
        <w:rPr>
          <w:b/>
        </w:rPr>
        <w:t>PASKAIDROJUMA RAKSTS</w:t>
      </w:r>
    </w:p>
    <w:p w:rsidR="009D5723" w:rsidRDefault="009D5723" w:rsidP="0058129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534"/>
      </w:tblGrid>
      <w:tr w:rsidR="009D5723" w:rsidTr="0058129D">
        <w:tc>
          <w:tcPr>
            <w:tcW w:w="2988" w:type="dxa"/>
          </w:tcPr>
          <w:p w:rsidR="009D5723" w:rsidRDefault="009D5723">
            <w:pPr>
              <w:jc w:val="center"/>
              <w:rPr>
                <w:b/>
              </w:rPr>
            </w:pPr>
            <w:r>
              <w:rPr>
                <w:b/>
              </w:rPr>
              <w:t>Paskaidrojuma raksta sadaļas</w:t>
            </w:r>
          </w:p>
        </w:tc>
        <w:tc>
          <w:tcPr>
            <w:tcW w:w="5534" w:type="dxa"/>
          </w:tcPr>
          <w:p w:rsidR="009D5723" w:rsidRDefault="009D5723">
            <w:pPr>
              <w:jc w:val="center"/>
              <w:rPr>
                <w:b/>
              </w:rPr>
            </w:pPr>
            <w:r>
              <w:rPr>
                <w:b/>
              </w:rPr>
              <w:t>Norādāmā informācija</w:t>
            </w:r>
          </w:p>
        </w:tc>
      </w:tr>
      <w:tr w:rsidR="009D5723" w:rsidTr="0058129D">
        <w:tc>
          <w:tcPr>
            <w:tcW w:w="2988" w:type="dxa"/>
          </w:tcPr>
          <w:p w:rsidR="009D5723" w:rsidRDefault="009D5723">
            <w:r>
              <w:t>1. Projekta nepieciešamības pamatojums</w:t>
            </w:r>
          </w:p>
        </w:tc>
        <w:tc>
          <w:tcPr>
            <w:tcW w:w="5534" w:type="dxa"/>
          </w:tcPr>
          <w:p w:rsidR="009D5723" w:rsidRPr="00E76192" w:rsidRDefault="009D5723" w:rsidP="008D6FC9">
            <w:pPr>
              <w:jc w:val="both"/>
              <w:rPr>
                <w:bCs/>
              </w:rPr>
            </w:pPr>
            <w:r w:rsidRPr="00D907C3">
              <w:rPr>
                <w:lang w:eastAsia="en-US"/>
              </w:rPr>
              <w:t>Jelgavas pi</w:t>
            </w:r>
            <w:r>
              <w:rPr>
                <w:lang w:eastAsia="en-US"/>
              </w:rPr>
              <w:t xml:space="preserve">lsētas pašvaldības </w:t>
            </w:r>
            <w:r>
              <w:t>s</w:t>
            </w:r>
            <w:r w:rsidRPr="00F515D6">
              <w:t xml:space="preserve">aistošie noteikumi ir izstrādāti, </w:t>
            </w:r>
            <w:r w:rsidRPr="00B376A3">
              <w:t>pamatojoties uz</w:t>
            </w:r>
            <w:r w:rsidRPr="00B376A3">
              <w:rPr>
                <w:szCs w:val="20"/>
              </w:rPr>
              <w:t>likuma „Par pašvaldībām” 43.panta trešo daļu, Sociālo pakalpojumu un sociālās palīdzības likuma 35.panta ceturto daļu</w:t>
            </w:r>
            <w:r w:rsidRPr="00B376A3">
              <w:t>,</w:t>
            </w:r>
            <w:r>
              <w:t xml:space="preserve"> </w:t>
            </w:r>
            <w:r w:rsidRPr="00B376A3">
              <w:rPr>
                <w:bCs/>
              </w:rPr>
              <w:t>Ministru kabineta</w:t>
            </w:r>
            <w:r>
              <w:t xml:space="preserve"> </w:t>
            </w:r>
            <w:r w:rsidRPr="00B376A3">
              <w:t>2006.</w:t>
            </w:r>
            <w:r>
              <w:t xml:space="preserve">gada 19.decembra </w:t>
            </w:r>
            <w:r>
              <w:rPr>
                <w:bCs/>
              </w:rPr>
              <w:t xml:space="preserve">noteikumu Nr.1036 </w:t>
            </w:r>
            <w:r>
              <w:t>„</w:t>
            </w:r>
            <w:r>
              <w:rPr>
                <w:bCs/>
              </w:rPr>
              <w:t xml:space="preserve">Audžuģimenes noteikumi” 41.punktu. </w:t>
            </w:r>
            <w:r w:rsidRPr="005C4AB9">
              <w:t xml:space="preserve">Jelgavas </w:t>
            </w:r>
            <w:r>
              <w:t xml:space="preserve">pilsētas </w:t>
            </w:r>
            <w:r w:rsidRPr="00621B60">
              <w:t>pašvaldības</w:t>
            </w:r>
            <w:r>
              <w:t xml:space="preserve"> 2006</w:t>
            </w:r>
            <w:r w:rsidRPr="00621B60">
              <w:t>.ga</w:t>
            </w:r>
            <w:r>
              <w:t>da 23.marta saistošos noteikumos Nr.119</w:t>
            </w:r>
            <w:r w:rsidRPr="00621B60">
              <w:t xml:space="preserve"> „</w:t>
            </w:r>
            <w:r>
              <w:rPr>
                <w:bCs/>
              </w:rPr>
              <w:t>Par pašvaldības palīdzību audžuģimenēm</w:t>
            </w:r>
            <w:r w:rsidRPr="00621B60">
              <w:rPr>
                <w:bCs/>
              </w:rPr>
              <w:t>”</w:t>
            </w:r>
            <w:r>
              <w:rPr>
                <w:bCs/>
              </w:rPr>
              <w:t xml:space="preserve"> </w:t>
            </w:r>
            <w:r>
              <w:t>tiek veikts grozījums, lai palielinātu p</w:t>
            </w:r>
            <w:r>
              <w:rPr>
                <w:iCs/>
                <w:lang w:eastAsia="en-US"/>
              </w:rPr>
              <w:t xml:space="preserve">abalsta apmēru katram bērnam audžuģimenē par </w:t>
            </w:r>
            <w:smartTag w:uri="schemas-tilde-lv/tildestengine" w:element="currency2">
              <w:smartTagPr>
                <w:attr w:name="currency_text" w:val="Ls"/>
                <w:attr w:name="currency_value" w:val="1.00"/>
                <w:attr w:name="currency_key" w:val="LVL"/>
                <w:attr w:name="currency_id" w:val="48"/>
              </w:smartTagPr>
              <w:r>
                <w:rPr>
                  <w:iCs/>
                  <w:lang w:eastAsia="en-US"/>
                </w:rPr>
                <w:t>Ls 1,00</w:t>
              </w:r>
            </w:smartTag>
            <w:r>
              <w:rPr>
                <w:iCs/>
                <w:lang w:eastAsia="en-US"/>
              </w:rPr>
              <w:t xml:space="preserve"> (vienu </w:t>
            </w:r>
            <w:smartTag w:uri="schemas-tilde-lv/tildestengine" w:element="currency2">
              <w:smartTagPr>
                <w:attr w:name="currency_text" w:val="latu"/>
                <w:attr w:name="currency_value" w:val="1"/>
                <w:attr w:name="currency_key" w:val="LVL"/>
                <w:attr w:name="currency_id" w:val="48"/>
              </w:smartTagPr>
              <w:r>
                <w:rPr>
                  <w:iCs/>
                  <w:lang w:eastAsia="en-US"/>
                </w:rPr>
                <w:t>latu</w:t>
              </w:r>
            </w:smartTag>
            <w:r>
              <w:rPr>
                <w:iCs/>
                <w:lang w:eastAsia="en-US"/>
              </w:rPr>
              <w:t xml:space="preserve">) dienā. </w:t>
            </w:r>
            <w:r>
              <w:t>Pabalsta bērna uzturam palielinājums veicinās ārpusģimenes aprūpes pakalpojuma pieejamību bērniem no augsta riska ģimenēm iespēju bērniem augt ģimeniskā vidē.</w:t>
            </w:r>
          </w:p>
        </w:tc>
      </w:tr>
      <w:tr w:rsidR="009D5723" w:rsidTr="0058129D">
        <w:tc>
          <w:tcPr>
            <w:tcW w:w="2988" w:type="dxa"/>
          </w:tcPr>
          <w:p w:rsidR="009D5723" w:rsidRDefault="009D5723">
            <w:r>
              <w:t>2. Īss projekta satura izklāsts</w:t>
            </w:r>
          </w:p>
        </w:tc>
        <w:tc>
          <w:tcPr>
            <w:tcW w:w="5534" w:type="dxa"/>
          </w:tcPr>
          <w:p w:rsidR="009D5723" w:rsidRPr="00F515D6" w:rsidRDefault="009D5723" w:rsidP="00AD0086">
            <w:pPr>
              <w:jc w:val="both"/>
            </w:pPr>
            <w:r w:rsidRPr="005C4AB9">
              <w:t xml:space="preserve">Jelgavas </w:t>
            </w:r>
            <w:r>
              <w:t xml:space="preserve">pilsētas </w:t>
            </w:r>
            <w:r w:rsidRPr="00621B60">
              <w:t>pašvaldības</w:t>
            </w:r>
            <w:r>
              <w:t xml:space="preserve"> 2006</w:t>
            </w:r>
            <w:r w:rsidRPr="00621B60">
              <w:t>.ga</w:t>
            </w:r>
            <w:r>
              <w:t>da 23.marta saistošos noteikumos Nr.119</w:t>
            </w:r>
            <w:r w:rsidRPr="00621B60">
              <w:t xml:space="preserve"> „</w:t>
            </w:r>
            <w:r>
              <w:rPr>
                <w:bCs/>
              </w:rPr>
              <w:t>Par pašvaldības palīdzību audžuģimenēm</w:t>
            </w:r>
            <w:r w:rsidRPr="00621B60">
              <w:rPr>
                <w:bCs/>
              </w:rPr>
              <w:t>”</w:t>
            </w:r>
            <w:r>
              <w:t xml:space="preserve"> ir paredzēts palielināt pabalsta bērna uzturam apmēru no </w:t>
            </w:r>
            <w:smartTag w:uri="schemas-tilde-lv/tildestengine" w:element="currency2">
              <w:smartTagPr>
                <w:attr w:name="currency_text" w:val="Ls"/>
                <w:attr w:name="currency_value" w:val="3.00"/>
                <w:attr w:name="currency_key" w:val="LVL"/>
                <w:attr w:name="currency_id" w:val="48"/>
              </w:smartTagPr>
              <w:r>
                <w:t>Ls 3,00</w:t>
              </w:r>
            </w:smartTag>
            <w:r>
              <w:t xml:space="preserve"> (trīs latiem) dienā uz </w:t>
            </w:r>
            <w:smartTag w:uri="schemas-tilde-lv/tildestengine" w:element="currency2">
              <w:smartTagPr>
                <w:attr w:name="currency_text" w:val="Ls"/>
                <w:attr w:name="currency_value" w:val="4.00"/>
                <w:attr w:name="currency_key" w:val="LVL"/>
                <w:attr w:name="currency_id" w:val="48"/>
              </w:smartTagPr>
              <w:r>
                <w:t>Ls 4,00</w:t>
              </w:r>
            </w:smartTag>
            <w:r>
              <w:t xml:space="preserve"> (četriem latiem) katram bērnam audžuģimenē.</w:t>
            </w:r>
            <w:r>
              <w:rPr>
                <w:iCs/>
                <w:lang w:eastAsia="en-US"/>
              </w:rPr>
              <w:t xml:space="preserve"> Pabalsta palielinājuma mērķis ir pamatvajadzību nodrošināšanai (pārtika</w:t>
            </w:r>
            <w:r w:rsidRPr="003F2AD0">
              <w:rPr>
                <w:iCs/>
                <w:lang w:eastAsia="en-US"/>
              </w:rPr>
              <w:t>)</w:t>
            </w:r>
            <w:r>
              <w:rPr>
                <w:iCs/>
                <w:lang w:eastAsia="en-US"/>
              </w:rPr>
              <w:t xml:space="preserve"> </w:t>
            </w:r>
            <w:r w:rsidRPr="003F2AD0">
              <w:rPr>
                <w:iCs/>
                <w:lang w:eastAsia="en-US"/>
              </w:rPr>
              <w:t>produktu cenu pieauguma apstākļos.</w:t>
            </w:r>
          </w:p>
        </w:tc>
      </w:tr>
      <w:tr w:rsidR="009D5723" w:rsidTr="00A04CB3">
        <w:trPr>
          <w:trHeight w:val="577"/>
        </w:trPr>
        <w:tc>
          <w:tcPr>
            <w:tcW w:w="2988" w:type="dxa"/>
          </w:tcPr>
          <w:p w:rsidR="009D5723" w:rsidRDefault="009D5723">
            <w:r>
              <w:t>3. Normatīvā akta projekta būtība</w:t>
            </w:r>
          </w:p>
        </w:tc>
        <w:tc>
          <w:tcPr>
            <w:tcW w:w="5534" w:type="dxa"/>
          </w:tcPr>
          <w:p w:rsidR="009D5723" w:rsidRPr="00F515D6" w:rsidRDefault="009D5723" w:rsidP="0093508A">
            <w:pPr>
              <w:jc w:val="both"/>
            </w:pPr>
            <w:r>
              <w:t>Nodrošināt pamatvajadzības bērniem, kuri tiek ievietoti audžuģimenē, palielinot pabalsta apmēru bērna uzturam.</w:t>
            </w:r>
          </w:p>
        </w:tc>
      </w:tr>
      <w:tr w:rsidR="009D5723" w:rsidRPr="005B7899" w:rsidTr="0058129D">
        <w:tc>
          <w:tcPr>
            <w:tcW w:w="2988" w:type="dxa"/>
          </w:tcPr>
          <w:p w:rsidR="009D5723" w:rsidRPr="005B7899" w:rsidRDefault="009D5723">
            <w:r w:rsidRPr="005B7899">
              <w:t>4. Informācija par plānoto projekta ietekmi uz budžetu</w:t>
            </w:r>
          </w:p>
        </w:tc>
        <w:tc>
          <w:tcPr>
            <w:tcW w:w="5534" w:type="dxa"/>
          </w:tcPr>
          <w:p w:rsidR="009D5723" w:rsidRDefault="009D5723" w:rsidP="00387EF6">
            <w:pPr>
              <w:jc w:val="both"/>
            </w:pPr>
            <w:r>
              <w:t>Pabalstam bērna uzturam audžuģimenē</w:t>
            </w:r>
            <w:r w:rsidRPr="005B7899">
              <w:t xml:space="preserve"> tiks paredzēti </w:t>
            </w:r>
            <w:r>
              <w:t xml:space="preserve">līdzekļi 2013.gada budžetā par kopēju summu </w:t>
            </w:r>
            <w:smartTag w:uri="schemas-tilde-lv/tildestengine" w:element="currency2">
              <w:smartTagPr>
                <w:attr w:name="currency_text" w:val="Ls"/>
                <w:attr w:name="currency_value" w:val="36"/>
                <w:attr w:name="currency_key" w:val="LVL"/>
                <w:attr w:name="currency_id" w:val="48"/>
              </w:smartTagPr>
              <w:r>
                <w:t>Ls 36</w:t>
              </w:r>
            </w:smartTag>
            <w:r>
              <w:t xml:space="preserve"> 500 (25 bērni X </w:t>
            </w:r>
            <w:smartTag w:uri="schemas-tilde-lv/tildestengine" w:element="currency2">
              <w:smartTagPr>
                <w:attr w:name="currency_text" w:val="Ls"/>
                <w:attr w:name="currency_value" w:val="4.00"/>
                <w:attr w:name="currency_key" w:val="LVL"/>
                <w:attr w:name="currency_id" w:val="48"/>
              </w:smartTagPr>
              <w:r>
                <w:t>Ls 4,00</w:t>
              </w:r>
            </w:smartTag>
            <w:r>
              <w:t xml:space="preserve"> dienā X 365 dienas). </w:t>
            </w:r>
          </w:p>
          <w:p w:rsidR="009D5723" w:rsidRPr="005B7899" w:rsidRDefault="009D5723" w:rsidP="00854473">
            <w:pPr>
              <w:jc w:val="both"/>
            </w:pPr>
            <w:r>
              <w:t>Noteikumu izpildei nav nepieciešams veidot jaunas institūcijas vai veidot jaunas amatu vietas.</w:t>
            </w:r>
          </w:p>
        </w:tc>
      </w:tr>
      <w:tr w:rsidR="009D5723" w:rsidTr="0058129D">
        <w:tc>
          <w:tcPr>
            <w:tcW w:w="2988" w:type="dxa"/>
          </w:tcPr>
          <w:p w:rsidR="009D5723" w:rsidRDefault="009D5723">
            <w:r>
              <w:t>5. Informācija par plānoto projekta ietekmi uz sociāli ekonomisko stāvokli (uzņēmējdarbības vidi) pašvaldības teritorijā</w:t>
            </w:r>
          </w:p>
        </w:tc>
        <w:tc>
          <w:tcPr>
            <w:tcW w:w="5534" w:type="dxa"/>
          </w:tcPr>
          <w:p w:rsidR="009D5723" w:rsidRPr="00F515D6" w:rsidRDefault="009D5723">
            <w:pPr>
              <w:jc w:val="both"/>
            </w:pPr>
            <w:r w:rsidRPr="00F515D6">
              <w:t>Nav attiecināms.</w:t>
            </w:r>
          </w:p>
        </w:tc>
      </w:tr>
      <w:tr w:rsidR="009D5723" w:rsidTr="0058129D">
        <w:tc>
          <w:tcPr>
            <w:tcW w:w="2988" w:type="dxa"/>
          </w:tcPr>
          <w:p w:rsidR="009D5723" w:rsidRDefault="009D5723">
            <w:r>
              <w:t>6. Normatīvā akta ietekme uz sabiedrību</w:t>
            </w:r>
          </w:p>
        </w:tc>
        <w:tc>
          <w:tcPr>
            <w:tcW w:w="5534" w:type="dxa"/>
          </w:tcPr>
          <w:p w:rsidR="009D5723" w:rsidRPr="00F515D6" w:rsidRDefault="009D5723" w:rsidP="00387EF6">
            <w:pPr>
              <w:jc w:val="both"/>
            </w:pPr>
            <w:r>
              <w:t xml:space="preserve">Pabalstu bērna uzturam katram bērnam audžuģimenē var saņemt personas, kuriem ir audžuģimenes statuss un kurā ar Jelgavas pilsētas pašvaldības iestādes ”Jelgavas pilsētas bāriņtiesa” lēmumu ir ievietots bērns. Jelgavas pilsētas pašvaldības iestāde „Jelgavas sociālo lietu pārvalde” slēdz līgumu ar audžuģimeni par bērna ievietošanu audžuģimenē. </w:t>
            </w:r>
          </w:p>
        </w:tc>
      </w:tr>
      <w:tr w:rsidR="009D5723" w:rsidTr="0058129D">
        <w:tc>
          <w:tcPr>
            <w:tcW w:w="2988" w:type="dxa"/>
          </w:tcPr>
          <w:p w:rsidR="009D5723" w:rsidRDefault="009D5723">
            <w:r>
              <w:t>7. Informācija par administratīvajām procedūrām</w:t>
            </w:r>
          </w:p>
        </w:tc>
        <w:tc>
          <w:tcPr>
            <w:tcW w:w="5534" w:type="dxa"/>
          </w:tcPr>
          <w:p w:rsidR="009D5723" w:rsidRDefault="009D5723">
            <w:pPr>
              <w:jc w:val="both"/>
            </w:pPr>
            <w:r>
              <w:t xml:space="preserve">Noteikumu izpildi nodrošinās Jelgavas pilsētas pašvaldības iestāde „Jelgavas sociālo lietu pārvalde”. </w:t>
            </w:r>
          </w:p>
          <w:p w:rsidR="009D5723" w:rsidRDefault="009D5723">
            <w:pPr>
              <w:jc w:val="both"/>
            </w:pPr>
            <w:r>
              <w:t>Persona Jelgavas pilsētas pašvaldības iestādes „Jelgavas sociālo lietu pārvalde” administratīvo aktu vai faktisko rīcību var apstrīdēt Jelgavas pilsētas domē.</w:t>
            </w:r>
          </w:p>
        </w:tc>
      </w:tr>
      <w:tr w:rsidR="009D5723" w:rsidTr="0058129D">
        <w:tc>
          <w:tcPr>
            <w:tcW w:w="2988" w:type="dxa"/>
          </w:tcPr>
          <w:p w:rsidR="009D5723" w:rsidRDefault="009D5723">
            <w:r>
              <w:t>8. Informācija par konsultācijām ar sabiedrības pārstāvjiem</w:t>
            </w:r>
          </w:p>
        </w:tc>
        <w:tc>
          <w:tcPr>
            <w:tcW w:w="5534" w:type="dxa"/>
          </w:tcPr>
          <w:p w:rsidR="009D5723" w:rsidRDefault="009D5723" w:rsidP="00C12D6D">
            <w:pPr>
              <w:jc w:val="both"/>
            </w:pPr>
            <w:r>
              <w:t xml:space="preserve">Noteikumu projekts konceptuāli apspriests un atbalstīts Jelgavas pilsētas domes Sociālo lietu konsultatīvajā komisijā. </w:t>
            </w:r>
          </w:p>
        </w:tc>
      </w:tr>
      <w:tr w:rsidR="009D5723" w:rsidTr="0058129D">
        <w:tc>
          <w:tcPr>
            <w:tcW w:w="2988" w:type="dxa"/>
          </w:tcPr>
          <w:p w:rsidR="009D5723" w:rsidRDefault="009D5723">
            <w:r>
              <w:t>9. Sabiedrības informēšana par normatīvo aktu</w:t>
            </w:r>
          </w:p>
        </w:tc>
        <w:tc>
          <w:tcPr>
            <w:tcW w:w="5534" w:type="dxa"/>
          </w:tcPr>
          <w:p w:rsidR="009D5723" w:rsidRDefault="009D5723">
            <w:pPr>
              <w:jc w:val="both"/>
            </w:pPr>
            <w:r>
              <w:t xml:space="preserve">Noteikumi tiks publicēti laikrakstā „Latvijas Vēstnesis”, Vides aizsardzības un reģionālās attīstības ministrijas mājas lapā, portālā </w:t>
            </w:r>
            <w:hyperlink r:id="rId7" w:history="1">
              <w:r w:rsidRPr="007978FA">
                <w:rPr>
                  <w:rStyle w:val="Hyperlink"/>
                </w:rPr>
                <w:t>www.likumi.lv</w:t>
              </w:r>
            </w:hyperlink>
            <w:r>
              <w:t xml:space="preserve">, Jelgavas pilsētas pašvaldības mājas lapā </w:t>
            </w:r>
            <w:hyperlink r:id="rId8" w:history="1">
              <w:r>
                <w:rPr>
                  <w:rStyle w:val="Hyperlink"/>
                </w:rPr>
                <w:t>www.jelgava.lv</w:t>
              </w:r>
            </w:hyperlink>
            <w:r>
              <w:t>.</w:t>
            </w:r>
          </w:p>
        </w:tc>
      </w:tr>
    </w:tbl>
    <w:p w:rsidR="009D5723" w:rsidRDefault="009D5723"/>
    <w:p w:rsidR="009D5723" w:rsidRDefault="009D5723"/>
    <w:p w:rsidR="009D5723" w:rsidRDefault="009D5723">
      <w:r>
        <w:t xml:space="preserve">Jelgavas pilsētas domes priekšsēdētājs </w:t>
      </w:r>
      <w:r>
        <w:tab/>
      </w:r>
      <w:r>
        <w:tab/>
      </w:r>
      <w:r>
        <w:tab/>
      </w:r>
      <w:r>
        <w:tab/>
      </w:r>
      <w:r>
        <w:tab/>
        <w:t>A.Rāviņš</w:t>
      </w:r>
    </w:p>
    <w:p w:rsidR="009D5723" w:rsidRDefault="009D5723"/>
    <w:sectPr w:rsidR="009D5723" w:rsidSect="00837989">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723" w:rsidRDefault="009D5723" w:rsidP="0061694D">
      <w:r>
        <w:separator/>
      </w:r>
    </w:p>
  </w:endnote>
  <w:endnote w:type="continuationSeparator" w:id="0">
    <w:p w:rsidR="009D5723" w:rsidRDefault="009D5723" w:rsidP="00616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3" w:rsidRDefault="009D57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3" w:rsidRDefault="009D5723">
    <w:pPr>
      <w:pStyle w:val="Footer"/>
      <w:jc w:val="center"/>
    </w:pPr>
    <w:fldSimple w:instr=" PAGE   \* MERGEFORMAT ">
      <w:r>
        <w:rPr>
          <w:noProof/>
        </w:rPr>
        <w:t>2</w:t>
      </w:r>
    </w:fldSimple>
  </w:p>
  <w:p w:rsidR="009D5723" w:rsidRDefault="009D57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3" w:rsidRDefault="009D5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723" w:rsidRDefault="009D5723" w:rsidP="0061694D">
      <w:r>
        <w:separator/>
      </w:r>
    </w:p>
  </w:footnote>
  <w:footnote w:type="continuationSeparator" w:id="0">
    <w:p w:rsidR="009D5723" w:rsidRDefault="009D5723" w:rsidP="00616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3" w:rsidRDefault="009D57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3" w:rsidRDefault="009D5723">
    <w:pPr>
      <w:pStyle w:val="Header"/>
    </w:pPr>
  </w:p>
  <w:p w:rsidR="009D5723" w:rsidRDefault="009D57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3" w:rsidRDefault="009D57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29D"/>
    <w:rsid w:val="00002963"/>
    <w:rsid w:val="00016239"/>
    <w:rsid w:val="00016AA6"/>
    <w:rsid w:val="0002109F"/>
    <w:rsid w:val="0005479C"/>
    <w:rsid w:val="00071D61"/>
    <w:rsid w:val="00072BA8"/>
    <w:rsid w:val="00072FE0"/>
    <w:rsid w:val="0008238D"/>
    <w:rsid w:val="000845AF"/>
    <w:rsid w:val="000912EE"/>
    <w:rsid w:val="000A06DF"/>
    <w:rsid w:val="000D09DF"/>
    <w:rsid w:val="000D1055"/>
    <w:rsid w:val="000D2079"/>
    <w:rsid w:val="000E5F62"/>
    <w:rsid w:val="001425F3"/>
    <w:rsid w:val="00143736"/>
    <w:rsid w:val="00150694"/>
    <w:rsid w:val="00184FC5"/>
    <w:rsid w:val="00196DF1"/>
    <w:rsid w:val="001A4428"/>
    <w:rsid w:val="001B102D"/>
    <w:rsid w:val="001C7A0A"/>
    <w:rsid w:val="001F0A40"/>
    <w:rsid w:val="001F142A"/>
    <w:rsid w:val="001F6E9E"/>
    <w:rsid w:val="0024051A"/>
    <w:rsid w:val="00250D24"/>
    <w:rsid w:val="00255186"/>
    <w:rsid w:val="002A5274"/>
    <w:rsid w:val="002B140E"/>
    <w:rsid w:val="002C027E"/>
    <w:rsid w:val="002C0404"/>
    <w:rsid w:val="002F15EC"/>
    <w:rsid w:val="0032745B"/>
    <w:rsid w:val="003305F1"/>
    <w:rsid w:val="00362CC2"/>
    <w:rsid w:val="00387EF6"/>
    <w:rsid w:val="003D373B"/>
    <w:rsid w:val="003E4F6C"/>
    <w:rsid w:val="003F2AD0"/>
    <w:rsid w:val="00432CC4"/>
    <w:rsid w:val="00443BFD"/>
    <w:rsid w:val="00450917"/>
    <w:rsid w:val="0045178D"/>
    <w:rsid w:val="00467AF0"/>
    <w:rsid w:val="004720FB"/>
    <w:rsid w:val="00481029"/>
    <w:rsid w:val="00486D92"/>
    <w:rsid w:val="004945B5"/>
    <w:rsid w:val="004A11EB"/>
    <w:rsid w:val="004B5018"/>
    <w:rsid w:val="004C6BD0"/>
    <w:rsid w:val="004D02C3"/>
    <w:rsid w:val="00521F29"/>
    <w:rsid w:val="005771E0"/>
    <w:rsid w:val="0058129D"/>
    <w:rsid w:val="00593B06"/>
    <w:rsid w:val="005B7899"/>
    <w:rsid w:val="005C4AB9"/>
    <w:rsid w:val="005D1D9E"/>
    <w:rsid w:val="005D28A7"/>
    <w:rsid w:val="005E6826"/>
    <w:rsid w:val="005F6501"/>
    <w:rsid w:val="00603726"/>
    <w:rsid w:val="00610797"/>
    <w:rsid w:val="0061694D"/>
    <w:rsid w:val="00621B60"/>
    <w:rsid w:val="0065631C"/>
    <w:rsid w:val="00656E45"/>
    <w:rsid w:val="006814FF"/>
    <w:rsid w:val="006A1E21"/>
    <w:rsid w:val="006A769E"/>
    <w:rsid w:val="006B6AE5"/>
    <w:rsid w:val="006D0380"/>
    <w:rsid w:val="006F16E5"/>
    <w:rsid w:val="00702F28"/>
    <w:rsid w:val="007335AF"/>
    <w:rsid w:val="00735B72"/>
    <w:rsid w:val="00757425"/>
    <w:rsid w:val="00767676"/>
    <w:rsid w:val="00770F07"/>
    <w:rsid w:val="007978FA"/>
    <w:rsid w:val="007B7460"/>
    <w:rsid w:val="007C5F64"/>
    <w:rsid w:val="007D6D96"/>
    <w:rsid w:val="007E2B96"/>
    <w:rsid w:val="007F2EBD"/>
    <w:rsid w:val="007F6B53"/>
    <w:rsid w:val="00813383"/>
    <w:rsid w:val="00833968"/>
    <w:rsid w:val="00837989"/>
    <w:rsid w:val="008426D9"/>
    <w:rsid w:val="0084624D"/>
    <w:rsid w:val="00854473"/>
    <w:rsid w:val="00873117"/>
    <w:rsid w:val="008B59AC"/>
    <w:rsid w:val="008D1CB2"/>
    <w:rsid w:val="008D39AF"/>
    <w:rsid w:val="008D6FC9"/>
    <w:rsid w:val="008E13CE"/>
    <w:rsid w:val="008E779C"/>
    <w:rsid w:val="008F2D2A"/>
    <w:rsid w:val="008F3025"/>
    <w:rsid w:val="00904ECA"/>
    <w:rsid w:val="009063CB"/>
    <w:rsid w:val="0093508A"/>
    <w:rsid w:val="00941FDE"/>
    <w:rsid w:val="00946139"/>
    <w:rsid w:val="00951D35"/>
    <w:rsid w:val="009543E5"/>
    <w:rsid w:val="00974993"/>
    <w:rsid w:val="009A6AEE"/>
    <w:rsid w:val="009D0B1D"/>
    <w:rsid w:val="009D309E"/>
    <w:rsid w:val="009D5723"/>
    <w:rsid w:val="00A04CB3"/>
    <w:rsid w:val="00A23766"/>
    <w:rsid w:val="00A23A63"/>
    <w:rsid w:val="00A3708A"/>
    <w:rsid w:val="00A435F0"/>
    <w:rsid w:val="00A5526E"/>
    <w:rsid w:val="00A64C0E"/>
    <w:rsid w:val="00AB4718"/>
    <w:rsid w:val="00AC6220"/>
    <w:rsid w:val="00AD0086"/>
    <w:rsid w:val="00AF087B"/>
    <w:rsid w:val="00AF4DBC"/>
    <w:rsid w:val="00B0691B"/>
    <w:rsid w:val="00B1340C"/>
    <w:rsid w:val="00B15DA0"/>
    <w:rsid w:val="00B376A3"/>
    <w:rsid w:val="00B378F9"/>
    <w:rsid w:val="00B4732F"/>
    <w:rsid w:val="00B606A8"/>
    <w:rsid w:val="00B65CF0"/>
    <w:rsid w:val="00B672A8"/>
    <w:rsid w:val="00B84426"/>
    <w:rsid w:val="00BD07A3"/>
    <w:rsid w:val="00BD093A"/>
    <w:rsid w:val="00BD2776"/>
    <w:rsid w:val="00BD4744"/>
    <w:rsid w:val="00C102EC"/>
    <w:rsid w:val="00C12D6D"/>
    <w:rsid w:val="00C35069"/>
    <w:rsid w:val="00C7223F"/>
    <w:rsid w:val="00C81995"/>
    <w:rsid w:val="00C92BB2"/>
    <w:rsid w:val="00C96B1B"/>
    <w:rsid w:val="00CA1EFE"/>
    <w:rsid w:val="00CB0E63"/>
    <w:rsid w:val="00CD2305"/>
    <w:rsid w:val="00D85063"/>
    <w:rsid w:val="00D907C3"/>
    <w:rsid w:val="00DB2F83"/>
    <w:rsid w:val="00DC5D3E"/>
    <w:rsid w:val="00E52EFE"/>
    <w:rsid w:val="00E76192"/>
    <w:rsid w:val="00EB104F"/>
    <w:rsid w:val="00EB5D03"/>
    <w:rsid w:val="00EE7B64"/>
    <w:rsid w:val="00F05924"/>
    <w:rsid w:val="00F33115"/>
    <w:rsid w:val="00F515D6"/>
    <w:rsid w:val="00F613F1"/>
    <w:rsid w:val="00F83E5B"/>
    <w:rsid w:val="00FB266B"/>
    <w:rsid w:val="00FC0A55"/>
    <w:rsid w:val="00FC5720"/>
    <w:rsid w:val="00FE2C92"/>
    <w:rsid w:val="00FE2E39"/>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s>
</file>

<file path=word/webSettings.xml><?xml version="1.0" encoding="utf-8"?>
<w:webSettings xmlns:r="http://schemas.openxmlformats.org/officeDocument/2006/relationships" xmlns:w="http://schemas.openxmlformats.org/wordprocessingml/2006/main">
  <w:divs>
    <w:div w:id="1197237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ikumi.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2070</Words>
  <Characters>1181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subject/>
  <dc:creator>Jeļena Laškova</dc:creator>
  <cp:keywords/>
  <dc:description/>
  <cp:lastModifiedBy>Spīdola Ozoliņa</cp:lastModifiedBy>
  <cp:revision>9</cp:revision>
  <cp:lastPrinted>2012-11-29T10:22:00Z</cp:lastPrinted>
  <dcterms:created xsi:type="dcterms:W3CDTF">2012-11-07T06:35:00Z</dcterms:created>
  <dcterms:modified xsi:type="dcterms:W3CDTF">2012-11-29T10:22:00Z</dcterms:modified>
</cp:coreProperties>
</file>