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202" w:rsidRDefault="007F0972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378pt;margin-top:-181pt;width:81pt;height:2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GQXfwIAAA8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" stroked="f">
            <v:textbox>
              <w:txbxContent>
                <w:p w:rsidR="00552202" w:rsidRDefault="00552202">
                  <w:r>
                    <w:t>NORAKSTS</w:t>
                  </w:r>
                  <w:bookmarkStart w:id="0" w:name="_GoBack"/>
                  <w:bookmarkEnd w:id="0"/>
                </w:p>
              </w:txbxContent>
            </v:textbox>
            <w10:wrap type="square"/>
          </v:shape>
        </w:pic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552202">
        <w:tc>
          <w:tcPr>
            <w:tcW w:w="6768" w:type="dxa"/>
          </w:tcPr>
          <w:p w:rsidR="00552202" w:rsidRDefault="00552202" w:rsidP="00DB620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28.02.2013.</w:t>
            </w:r>
          </w:p>
        </w:tc>
        <w:tc>
          <w:tcPr>
            <w:tcW w:w="1980" w:type="dxa"/>
          </w:tcPr>
          <w:p w:rsidR="00552202" w:rsidRDefault="0055220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Nr.2/1</w:t>
            </w:r>
          </w:p>
        </w:tc>
      </w:tr>
    </w:tbl>
    <w:p w:rsidR="00552202" w:rsidRDefault="00552202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552202" w:rsidRDefault="00552202" w:rsidP="00F07E78">
      <w:pPr>
        <w:pBdr>
          <w:bottom w:val="single" w:sz="12" w:space="1" w:color="auto"/>
        </w:pBdr>
        <w:jc w:val="center"/>
        <w:rPr>
          <w:b/>
          <w:bCs/>
        </w:rPr>
      </w:pPr>
      <w:r>
        <w:rPr>
          <w:b/>
          <w:bCs/>
        </w:rPr>
        <w:t>PAR IZMAIŅĀM NOSLĒGTAJOS ILGTERMIŅA AIZDEVUMU LĪGUMOS</w:t>
      </w:r>
    </w:p>
    <w:p w:rsidR="00552202" w:rsidRPr="00970465" w:rsidRDefault="00552202" w:rsidP="0011189D">
      <w:pPr>
        <w:jc w:val="center"/>
      </w:pPr>
      <w:r w:rsidRPr="00970465">
        <w:t>(ziņo I.Škutāne)</w:t>
      </w:r>
    </w:p>
    <w:p w:rsidR="00552202" w:rsidRPr="00970465" w:rsidRDefault="00552202" w:rsidP="0011189D">
      <w:pPr>
        <w:tabs>
          <w:tab w:val="left" w:pos="3405"/>
        </w:tabs>
      </w:pPr>
      <w:r w:rsidRPr="00970465">
        <w:tab/>
      </w:r>
    </w:p>
    <w:p w:rsidR="00552202" w:rsidRPr="0011189D" w:rsidRDefault="00552202" w:rsidP="0011189D">
      <w:pPr>
        <w:ind w:firstLine="540"/>
        <w:jc w:val="both"/>
      </w:pPr>
      <w:r w:rsidRPr="00970465">
        <w:rPr>
          <w:b/>
          <w:bCs/>
        </w:rPr>
        <w:t>Atklāti balsojot ar 13 balsīm PAR –</w:t>
      </w:r>
      <w:r w:rsidRPr="00970465">
        <w:t xml:space="preserve"> A.Rāviņš, A.Garančs, J.Strods, V.Ļevčenoks, M.Buškevics, A.Ķipurs, A.Rublis, A.Eihvalds, </w:t>
      </w:r>
      <w:r w:rsidRPr="00970465">
        <w:rPr>
          <w:bCs/>
        </w:rPr>
        <w:t>A.Ļitvinovs,</w:t>
      </w:r>
      <w:r w:rsidRPr="00970465">
        <w:rPr>
          <w:b/>
          <w:bCs/>
        </w:rPr>
        <w:t xml:space="preserve"> </w:t>
      </w:r>
      <w:r w:rsidRPr="00970465">
        <w:rPr>
          <w:bCs/>
        </w:rPr>
        <w:t>S.Šalājevs,</w:t>
      </w:r>
      <w:r w:rsidRPr="00970465">
        <w:rPr>
          <w:b/>
          <w:bCs/>
        </w:rPr>
        <w:t xml:space="preserve"> </w:t>
      </w:r>
      <w:r w:rsidRPr="00970465">
        <w:rPr>
          <w:bCs/>
        </w:rPr>
        <w:t>D.Liepiņš,</w:t>
      </w:r>
      <w:r w:rsidRPr="00970465">
        <w:rPr>
          <w:b/>
          <w:bCs/>
        </w:rPr>
        <w:t xml:space="preserve">  </w:t>
      </w:r>
      <w:r w:rsidRPr="00970465">
        <w:rPr>
          <w:bCs/>
        </w:rPr>
        <w:t>M.Galkins,</w:t>
      </w:r>
      <w:r w:rsidRPr="00970465">
        <w:rPr>
          <w:b/>
          <w:bCs/>
        </w:rPr>
        <w:t xml:space="preserve"> </w:t>
      </w:r>
      <w:r w:rsidRPr="00970465">
        <w:t xml:space="preserve">S.Ņevoļskis, </w:t>
      </w:r>
      <w:r w:rsidRPr="00970465">
        <w:rPr>
          <w:b/>
          <w:bCs/>
        </w:rPr>
        <w:t xml:space="preserve">PRET – </w:t>
      </w:r>
      <w:r w:rsidRPr="00970465">
        <w:rPr>
          <w:bCs/>
        </w:rPr>
        <w:t>nav,</w:t>
      </w:r>
      <w:r w:rsidRPr="00970465">
        <w:rPr>
          <w:b/>
          <w:bCs/>
        </w:rPr>
        <w:t xml:space="preserve"> ATTURAS</w:t>
      </w:r>
      <w:r w:rsidRPr="00970465">
        <w:t xml:space="preserve"> – nav,</w:t>
      </w:r>
    </w:p>
    <w:p w:rsidR="00552202" w:rsidRDefault="00552202" w:rsidP="00F07E78">
      <w:pPr>
        <w:pStyle w:val="Header"/>
        <w:tabs>
          <w:tab w:val="left" w:pos="720"/>
        </w:tabs>
        <w:ind w:firstLine="720"/>
        <w:jc w:val="both"/>
        <w:rPr>
          <w:lang w:val="lv-LV"/>
        </w:rPr>
      </w:pPr>
    </w:p>
    <w:p w:rsidR="00552202" w:rsidRPr="00EC75BA" w:rsidRDefault="00552202" w:rsidP="00F07E78">
      <w:pPr>
        <w:pStyle w:val="tv20687921"/>
        <w:spacing w:before="0" w:after="0" w:line="240" w:lineRule="auto"/>
        <w:ind w:firstLine="301"/>
        <w:jc w:val="both"/>
        <w:rPr>
          <w:rFonts w:ascii="Times New Roman" w:hAnsi="Times New Roman"/>
          <w:sz w:val="24"/>
          <w:szCs w:val="24"/>
        </w:rPr>
      </w:pPr>
      <w:r w:rsidRPr="00EC75BA">
        <w:rPr>
          <w:rFonts w:ascii="Times New Roman" w:hAnsi="Times New Roman"/>
          <w:sz w:val="24"/>
          <w:szCs w:val="24"/>
        </w:rPr>
        <w:t xml:space="preserve">Saskaņā ar likuma </w:t>
      </w:r>
      <w:r>
        <w:rPr>
          <w:rFonts w:ascii="Times New Roman" w:hAnsi="Times New Roman"/>
          <w:sz w:val="24"/>
          <w:szCs w:val="24"/>
        </w:rPr>
        <w:t>„</w:t>
      </w:r>
      <w:r w:rsidRPr="00EC75BA">
        <w:rPr>
          <w:rFonts w:ascii="Times New Roman" w:hAnsi="Times New Roman"/>
          <w:sz w:val="24"/>
          <w:szCs w:val="24"/>
        </w:rPr>
        <w:t>Par pašvaldību budžetiem” 22. un 22.¹ pant</w:t>
      </w:r>
      <w:r>
        <w:rPr>
          <w:rFonts w:ascii="Times New Roman" w:hAnsi="Times New Roman"/>
          <w:sz w:val="24"/>
          <w:szCs w:val="24"/>
        </w:rPr>
        <w:t>u</w:t>
      </w:r>
      <w:r w:rsidRPr="00EC75BA">
        <w:rPr>
          <w:rFonts w:ascii="Times New Roman" w:hAnsi="Times New Roman"/>
          <w:sz w:val="24"/>
          <w:szCs w:val="24"/>
        </w:rPr>
        <w:t xml:space="preserve"> un </w:t>
      </w:r>
      <w:r>
        <w:rPr>
          <w:rFonts w:ascii="Times New Roman" w:hAnsi="Times New Roman"/>
          <w:sz w:val="24"/>
          <w:szCs w:val="24"/>
        </w:rPr>
        <w:t xml:space="preserve">Ministru Kabineta 2010.gada 9.novembra </w:t>
      </w:r>
      <w:r w:rsidRPr="00EC75BA">
        <w:rPr>
          <w:rFonts w:ascii="Times New Roman" w:hAnsi="Times New Roman"/>
          <w:bCs/>
          <w:sz w:val="24"/>
          <w:szCs w:val="24"/>
        </w:rPr>
        <w:t>noteikum</w:t>
      </w:r>
      <w:r>
        <w:rPr>
          <w:rFonts w:ascii="Times New Roman" w:hAnsi="Times New Roman"/>
          <w:bCs/>
          <w:sz w:val="24"/>
          <w:szCs w:val="24"/>
        </w:rPr>
        <w:t>u</w:t>
      </w:r>
      <w:r w:rsidRPr="00EC75BA">
        <w:rPr>
          <w:rFonts w:ascii="Times New Roman" w:hAnsi="Times New Roman"/>
          <w:bCs/>
          <w:sz w:val="24"/>
          <w:szCs w:val="24"/>
        </w:rPr>
        <w:t xml:space="preserve"> Nr.1041</w:t>
      </w:r>
      <w:r>
        <w:rPr>
          <w:rFonts w:ascii="Times New Roman" w:hAnsi="Times New Roman"/>
          <w:bCs/>
          <w:sz w:val="24"/>
          <w:szCs w:val="24"/>
        </w:rPr>
        <w:t xml:space="preserve"> „</w:t>
      </w:r>
      <w:r w:rsidRPr="00EC75BA">
        <w:rPr>
          <w:rFonts w:ascii="Times New Roman" w:hAnsi="Times New Roman"/>
          <w:sz w:val="24"/>
          <w:szCs w:val="24"/>
        </w:rPr>
        <w:t>Kārtība, kādā paredzami valsts budžeta līdzekļi Eiropas Savienības struktūrfondu un Kohēzijas fonda līdzfinansēto projektu īstenošanai, kā arī maksājumu veikšanas un izdevumu deklarācijas sagatavošanas kārtība</w:t>
      </w:r>
      <w:r>
        <w:rPr>
          <w:rFonts w:ascii="Times New Roman" w:hAnsi="Times New Roman"/>
          <w:sz w:val="24"/>
          <w:szCs w:val="24"/>
        </w:rPr>
        <w:t xml:space="preserve">” 24.5.punktu, </w:t>
      </w:r>
      <w:r w:rsidRPr="00EC75BA">
        <w:rPr>
          <w:rFonts w:ascii="Times New Roman" w:hAnsi="Times New Roman"/>
          <w:sz w:val="24"/>
          <w:szCs w:val="24"/>
        </w:rPr>
        <w:t>ir nepieciešams veikt izmaiņas noslēgtajos ilgtermiņa aizdevuma līgumos,</w:t>
      </w:r>
    </w:p>
    <w:p w:rsidR="00552202" w:rsidRDefault="00552202" w:rsidP="00DB6200">
      <w:pPr>
        <w:pStyle w:val="Header"/>
        <w:tabs>
          <w:tab w:val="left" w:pos="720"/>
        </w:tabs>
        <w:ind w:firstLine="720"/>
        <w:jc w:val="both"/>
        <w:rPr>
          <w:b/>
          <w:bCs/>
          <w:lang w:val="lv-LV"/>
        </w:rPr>
      </w:pPr>
    </w:p>
    <w:p w:rsidR="00552202" w:rsidRDefault="00552202" w:rsidP="00DB6200">
      <w:pPr>
        <w:pStyle w:val="Header"/>
        <w:tabs>
          <w:tab w:val="left" w:pos="720"/>
        </w:tabs>
        <w:rPr>
          <w:b/>
          <w:bCs/>
          <w:lang w:val="lv-LV"/>
        </w:rPr>
      </w:pPr>
      <w:r>
        <w:rPr>
          <w:b/>
          <w:bCs/>
          <w:lang w:val="lv-LV"/>
        </w:rPr>
        <w:t>JELGAVAS PILSĒTAS DOME NOLEMJ:</w:t>
      </w:r>
    </w:p>
    <w:p w:rsidR="00552202" w:rsidRDefault="00552202" w:rsidP="006D4FFD">
      <w:pPr>
        <w:jc w:val="both"/>
        <w:rPr>
          <w:szCs w:val="20"/>
          <w:lang w:eastAsia="lv-LV"/>
        </w:rPr>
      </w:pPr>
    </w:p>
    <w:p w:rsidR="00552202" w:rsidRDefault="00552202" w:rsidP="006D4FFD">
      <w:pPr>
        <w:numPr>
          <w:ilvl w:val="0"/>
          <w:numId w:val="3"/>
        </w:numPr>
        <w:jc w:val="both"/>
      </w:pPr>
      <w:r w:rsidRPr="004E51BA">
        <w:t xml:space="preserve">Lūgt valsts kasi pagarināt aizdevumu atmaksas termiņu par </w:t>
      </w:r>
      <w:r>
        <w:t>5</w:t>
      </w:r>
      <w:r w:rsidRPr="004E51BA">
        <w:t xml:space="preserve"> gadiem un mainīt aizdevumu pamatsummu atmaksas grafikus šādiem </w:t>
      </w:r>
      <w:r>
        <w:t xml:space="preserve">ilgtermiņa </w:t>
      </w:r>
      <w:r w:rsidRPr="004E51BA">
        <w:t>aizdevumiem</w:t>
      </w:r>
      <w:r>
        <w:t>:</w:t>
      </w:r>
    </w:p>
    <w:p w:rsidR="00552202" w:rsidRDefault="00552202" w:rsidP="006D4FFD">
      <w:pPr>
        <w:numPr>
          <w:ilvl w:val="1"/>
          <w:numId w:val="3"/>
        </w:numPr>
        <w:jc w:val="both"/>
      </w:pPr>
      <w:r w:rsidRPr="00A50C50">
        <w:t>2010.gada 21.jūnija pārjaunojuma līgumam Nr.A2/1/10/471</w:t>
      </w:r>
      <w:r>
        <w:t xml:space="preserve">, </w:t>
      </w:r>
      <w:r w:rsidRPr="00A50C50">
        <w:t>trančes Nr.PL-20/2011</w:t>
      </w:r>
      <w:r>
        <w:t>,</w:t>
      </w:r>
      <w:r w:rsidRPr="00A50C50">
        <w:t xml:space="preserve"> stāvlaukuma izbūvei un ielu rekonstrukcijai, LVL 705</w:t>
      </w:r>
      <w:r>
        <w:t> </w:t>
      </w:r>
      <w:r w:rsidRPr="00A50C50">
        <w:t>769</w:t>
      </w:r>
      <w:r>
        <w:t>,</w:t>
      </w:r>
      <w:r w:rsidRPr="00A50C50">
        <w:t>83;</w:t>
      </w:r>
    </w:p>
    <w:p w:rsidR="00552202" w:rsidRPr="00A50C50" w:rsidRDefault="00552202" w:rsidP="006D4FFD">
      <w:pPr>
        <w:numPr>
          <w:ilvl w:val="1"/>
          <w:numId w:val="3"/>
        </w:numPr>
        <w:jc w:val="both"/>
      </w:pPr>
      <w:r w:rsidRPr="00A50C50">
        <w:t>2010.gada 22.jūnija pārjaunojuma līgumam N</w:t>
      </w:r>
      <w:r>
        <w:t xml:space="preserve">r.A2/1/10/488, </w:t>
      </w:r>
      <w:r w:rsidRPr="00A50C50">
        <w:t>trančes Nr.</w:t>
      </w:r>
      <w:r>
        <w:t>PL-36/2011,</w:t>
      </w:r>
      <w:r w:rsidRPr="00A50C50">
        <w:t xml:space="preserve"> Peldu ielas otrās kārtas izbūvei, gāzes vada un elektroapgādes būvniecībai, LVL 601</w:t>
      </w:r>
      <w:r>
        <w:t> </w:t>
      </w:r>
      <w:r w:rsidRPr="00A50C50">
        <w:t>694</w:t>
      </w:r>
      <w:r>
        <w:t>,</w:t>
      </w:r>
      <w:r w:rsidRPr="00A50C50">
        <w:t>77</w:t>
      </w:r>
      <w:r>
        <w:t>.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2003.gada 12.</w:t>
      </w:r>
      <w:r>
        <w:rPr>
          <w:lang w:val="lv-LV"/>
        </w:rPr>
        <w:t>septembra aizdevuma līgumam Nr.</w:t>
      </w:r>
      <w:r w:rsidRPr="006D4FFD">
        <w:rPr>
          <w:lang w:val="lv-LV"/>
        </w:rPr>
        <w:t>A2/1/F03/539, trančes Nr.PL-40/2011, Jelgavas pilsētas siltumtīklu rehabilitācija, LVL 3 825 880,52;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2007.gada 21.jūnija aizdevuma līgumam Nr.A2/1/07/301, trančes Nr.P-196/2007, pašvaldības iestāžu ēku remontiem, LVL 1 685 028;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2007.gada 21.jūnija aizdevuma līgumam Nr.A2/1/07/303, trančes Nr.P-198/2007, SIA „Zemgales Olimpiskais centrs” pamatkapitāla palielināšanai, LVL 1 087 860;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2007.gada 21.jūnija aizdevuma līgumam Nr.A2/1/07/304, trančes Nr.P-199/2007, pilsētas ielu izbūvei, renovācijai un remontam, LVL 2 899 373;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2007.gada 21.jūnija aizdevuma līgumam Nr.A2/1/07/305, trančes Nr.P-200/2007, pilsētas infrastruktūras objektu rekonstrukcijai un izbūvei, LVL 863 700;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lastRenderedPageBreak/>
        <w:t>2007.gada 21.jūnija aizdevuma līgumam Nr.A2/1/07/306, trančes Nr.P-201/2007, ES fonu atbalstīto projektu priekšfinansējuma un līdzfinansējuma nodrošināšanai, LVL 530 610,36;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21.jūnija pārjaunojuma līgumam Nr.A2/1/10/470, trančes Nr.PL-21/2011, Jelgavas 4.vidusskolas piebūves celtniecībai, ēku energoefektivitātes paaugstināšanas projekta īstenošanai, LVL 2 420 645;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21.jūnija pārjaunojuma līgumam Nr.A2/1/10/469, trančes Nr.PL-22/2011, pamatkapitāla palielināšanai pašvaldības SIA, LVL 3 707 590;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21.jūnija pārjaunojuma līgumam Nr.A2/1/10/467, trančes Nr.PL-24/2011, pilsētas ielu un infrastruktūras objektu izbūvei un renovācijai, LVL 4 100 810;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21.jūnija pārjaunojuma līgumam Nr.A2/1/10/464, trančes Nr.PL-37/2011, Kalnciema ceļa un Tērvetes ielas seguma atjaunošanai, LVL 710 715;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2011.gada 16.februāra pārjaunojuma līgumam Nr.A2/1/11/40, trančes Nr.PL-29/2011, projekta „4.vidusskolas piebūves celtniecība” īstenošanai, LVL 730 745,11;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2011.gada 16.februāra pārjaunojuma līgumam Nr.A2/1/11/34, trančes Nr.PL-38/2011, ERAF projekta „Dobeles šosejas rekonstrukcija Jelgavas pilsētā” īstenošanai, LVL 2 322 072,75;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1.septembra aizdevuma līgumam Nr.A2/1/10/708, trančes Nr.P-327/2010, ERAF projekta „Reģiona nozīmes tūrisma un kultūrizglītības centra izveide Jelgavā” īstenošanai, LVL 548 151,96;</w:t>
      </w:r>
    </w:p>
    <w:p w:rsidR="00552202" w:rsidRPr="006D4FFD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27.augusta aizdevuma līgumam Nr.A2/1/10/689, trančes Nr.P-329/2010, ELGF projekta „Lielupes gultnes tīrīšana un Lielupes labā krasta aizsargdambja posmā no dzelzceļa tilta līdz Rīgas ielai atjaunošana” īstenošanai, LVL 422 004,52;</w:t>
      </w:r>
    </w:p>
    <w:p w:rsidR="00552202" w:rsidRDefault="00552202" w:rsidP="006D4FFD">
      <w:pPr>
        <w:pStyle w:val="Header"/>
        <w:numPr>
          <w:ilvl w:val="1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2010.gada 24.septembra aizdevuma līgumam Nr.A2/1/10/783, trančes Nr.P-365/2010, projekta „Energoefektivitātes paaugstināšanai Jelgavas pilsētas pašvaldības iestāžu ēkās” īstenošanai, LVL 395 137,87.</w:t>
      </w:r>
    </w:p>
    <w:p w:rsidR="00552202" w:rsidRDefault="00552202" w:rsidP="006D4FF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6D4FFD">
        <w:rPr>
          <w:lang w:val="lv-LV"/>
        </w:rPr>
        <w:t>Aizņēmumu atmaksu garantēt ar Jelgavas pilsētas pašvaldības budžetu.</w:t>
      </w:r>
    </w:p>
    <w:p w:rsidR="00552202" w:rsidRDefault="00552202" w:rsidP="006D4FFD">
      <w:pPr>
        <w:pStyle w:val="Header"/>
        <w:numPr>
          <w:ilvl w:val="0"/>
          <w:numId w:val="3"/>
        </w:numPr>
        <w:tabs>
          <w:tab w:val="clear" w:pos="4320"/>
          <w:tab w:val="clear" w:pos="8640"/>
        </w:tabs>
        <w:jc w:val="both"/>
        <w:rPr>
          <w:lang w:val="lv-LV"/>
        </w:rPr>
      </w:pPr>
      <w:proofErr w:type="spellStart"/>
      <w:r>
        <w:t>Lēmuma</w:t>
      </w:r>
      <w:proofErr w:type="spellEnd"/>
      <w:r>
        <w:t xml:space="preserve"> </w:t>
      </w:r>
      <w:proofErr w:type="spellStart"/>
      <w:r>
        <w:t>izpildi</w:t>
      </w:r>
      <w:proofErr w:type="spellEnd"/>
      <w:r>
        <w:t xml:space="preserve"> </w:t>
      </w:r>
      <w:proofErr w:type="spellStart"/>
      <w:r>
        <w:t>kontrolēt</w:t>
      </w:r>
      <w:proofErr w:type="spellEnd"/>
      <w:r>
        <w:t xml:space="preserve"> domes </w:t>
      </w:r>
      <w:proofErr w:type="spellStart"/>
      <w:r>
        <w:t>priekšsēdētājam</w:t>
      </w:r>
      <w:proofErr w:type="spellEnd"/>
      <w:r>
        <w:t>.</w:t>
      </w:r>
    </w:p>
    <w:p w:rsidR="00552202" w:rsidRDefault="0055220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52202" w:rsidRDefault="00552202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552202" w:rsidRPr="0011189D" w:rsidRDefault="00552202" w:rsidP="0011189D">
      <w:pPr>
        <w:jc w:val="both"/>
      </w:pPr>
      <w:r w:rsidRPr="0011189D">
        <w:t>Domes priekšsēdētājs</w:t>
      </w:r>
      <w:r w:rsidRPr="0011189D">
        <w:tab/>
      </w:r>
      <w:r w:rsidRPr="0011189D">
        <w:tab/>
      </w:r>
      <w:r>
        <w:t xml:space="preserve">            </w:t>
      </w:r>
      <w:r w:rsidRPr="0011189D">
        <w:t>(paraksts)</w:t>
      </w:r>
      <w:r w:rsidRPr="0011189D">
        <w:tab/>
        <w:t xml:space="preserve">           </w:t>
      </w:r>
      <w:r w:rsidRPr="0011189D">
        <w:tab/>
      </w:r>
      <w:r>
        <w:tab/>
      </w:r>
      <w:r>
        <w:tab/>
        <w:t>A.Rāviņš</w:t>
      </w:r>
    </w:p>
    <w:p w:rsidR="00552202" w:rsidRPr="0011189D" w:rsidRDefault="00552202" w:rsidP="0011189D">
      <w:pPr>
        <w:jc w:val="both"/>
      </w:pPr>
    </w:p>
    <w:p w:rsidR="00552202" w:rsidRPr="0011189D" w:rsidRDefault="00552202" w:rsidP="0011189D">
      <w:pPr>
        <w:jc w:val="both"/>
      </w:pPr>
      <w:r w:rsidRPr="0011189D">
        <w:t>NORAKSTS PAREIZS</w:t>
      </w:r>
    </w:p>
    <w:p w:rsidR="00552202" w:rsidRPr="0011189D" w:rsidRDefault="00552202" w:rsidP="0011189D">
      <w:pPr>
        <w:jc w:val="both"/>
      </w:pPr>
      <w:r w:rsidRPr="0011189D">
        <w:t>Kancelejas vadītāja</w:t>
      </w:r>
      <w:r w:rsidRPr="0011189D">
        <w:tab/>
      </w:r>
      <w:r w:rsidRPr="0011189D">
        <w:tab/>
      </w:r>
      <w:r w:rsidRPr="0011189D">
        <w:tab/>
        <w:t xml:space="preserve">   </w:t>
      </w:r>
      <w:r w:rsidRPr="0011189D">
        <w:tab/>
      </w:r>
      <w:r w:rsidRPr="0011189D">
        <w:tab/>
        <w:t xml:space="preserve">             </w:t>
      </w:r>
      <w:r w:rsidRPr="0011189D">
        <w:tab/>
      </w:r>
      <w:r>
        <w:tab/>
      </w:r>
      <w:r w:rsidRPr="0011189D">
        <w:t>S.Ozoliņa</w:t>
      </w:r>
    </w:p>
    <w:p w:rsidR="00552202" w:rsidRPr="0011189D" w:rsidRDefault="00552202" w:rsidP="0011189D">
      <w:pPr>
        <w:jc w:val="both"/>
      </w:pPr>
      <w:r w:rsidRPr="0011189D">
        <w:t xml:space="preserve">Jelgavā 2013.gada </w:t>
      </w:r>
      <w:r>
        <w:t>28</w:t>
      </w:r>
      <w:r w:rsidRPr="0011189D">
        <w:t>.</w:t>
      </w:r>
      <w:r>
        <w:t>febru</w:t>
      </w:r>
      <w:r w:rsidRPr="0011189D">
        <w:t>ārī</w:t>
      </w:r>
    </w:p>
    <w:sectPr w:rsidR="00552202" w:rsidRPr="0011189D" w:rsidSect="007F54F5">
      <w:footerReference w:type="even" r:id="rId8"/>
      <w:footerReference w:type="default" r:id="rId9"/>
      <w:headerReference w:type="first" r:id="rId10"/>
      <w:pgSz w:w="11906" w:h="16838" w:code="9"/>
      <w:pgMar w:top="567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2202" w:rsidRDefault="00552202">
      <w:r>
        <w:separator/>
      </w:r>
    </w:p>
  </w:endnote>
  <w:endnote w:type="continuationSeparator" w:id="0">
    <w:p w:rsidR="00552202" w:rsidRDefault="005522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BA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BA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02" w:rsidRDefault="00552202" w:rsidP="00296A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52202" w:rsidRDefault="00552202" w:rsidP="006D4FF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02" w:rsidRDefault="00EC4AAD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F0972">
      <w:rPr>
        <w:noProof/>
      </w:rPr>
      <w:t>2</w:t>
    </w:r>
    <w:r>
      <w:rPr>
        <w:noProof/>
      </w:rPr>
      <w:fldChar w:fldCharType="end"/>
    </w:r>
  </w:p>
  <w:p w:rsidR="00552202" w:rsidRDefault="00552202" w:rsidP="006D4F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2202" w:rsidRDefault="00552202">
      <w:r>
        <w:separator/>
      </w:r>
    </w:p>
  </w:footnote>
  <w:footnote w:type="continuationSeparator" w:id="0">
    <w:p w:rsidR="00552202" w:rsidRDefault="005522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2202" w:rsidRDefault="007F0972" w:rsidP="007F54F5">
    <w:pPr>
      <w:pStyle w:val="Header"/>
      <w:tabs>
        <w:tab w:val="clear" w:pos="4320"/>
        <w:tab w:val="clear" w:pos="8640"/>
      </w:tabs>
      <w:jc w:val="center"/>
      <w:rPr>
        <w:sz w:val="16"/>
        <w:szCs w:val="16"/>
        <w:lang w:val="lv-LV"/>
      </w:rPr>
    </w:pPr>
    <w:r>
      <w:rPr>
        <w:rFonts w:ascii="Arial" w:hAnsi="Arial"/>
        <w:b/>
        <w:noProof/>
        <w:sz w:val="28"/>
        <w:lang w:val="lv-LV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" o:spid="_x0000_i1025" type="#_x0000_t75" alt="gerbs_bw-02" style="width:54.75pt;height:65.25pt;visibility:visible">
          <v:imagedata r:id="rId1" o:title=""/>
        </v:shape>
      </w:pict>
    </w:r>
  </w:p>
  <w:p w:rsidR="00552202" w:rsidRPr="00FB6B06" w:rsidRDefault="0055220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552202" w:rsidRDefault="0055220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6"/>
        <w:szCs w:val="44"/>
        <w:lang w:val="lv-LV"/>
      </w:rPr>
    </w:pPr>
    <w:r>
      <w:rPr>
        <w:rFonts w:ascii="Arial" w:hAnsi="Arial" w:cs="Arial"/>
        <w:b/>
        <w:sz w:val="56"/>
        <w:szCs w:val="44"/>
        <w:lang w:val="lv-LV"/>
      </w:rPr>
      <w:t>Jelgavas pilsētas dome</w:t>
    </w:r>
  </w:p>
  <w:p w:rsidR="00552202" w:rsidRPr="000C4CB0" w:rsidRDefault="0055220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0C4CB0">
      <w:rPr>
        <w:rFonts w:ascii="Arial" w:hAnsi="Arial" w:cs="Arial"/>
        <w:sz w:val="18"/>
        <w:szCs w:val="18"/>
        <w:lang w:val="lv-LV"/>
      </w:rPr>
      <w:t>Lielā iela 11, Jelgava, LV 3001, tālrunis: 63005531, 63005538, fakss: 63029059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552202">
      <w:tc>
        <w:tcPr>
          <w:tcW w:w="8528" w:type="dxa"/>
        </w:tcPr>
        <w:p w:rsidR="00552202" w:rsidRDefault="00552202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552202" w:rsidRDefault="00552202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Cs w:val="44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"/>
      </w:smartTagPr>
      <w:r>
        <w:rPr>
          <w:rFonts w:ascii="Arial" w:hAnsi="Arial" w:cs="Arial"/>
          <w:b/>
          <w:sz w:val="44"/>
          <w:szCs w:val="44"/>
          <w:lang w:val="lv-LV"/>
        </w:rPr>
        <w:t>LĒMUMS</w:t>
      </w:r>
    </w:smartTag>
  </w:p>
  <w:p w:rsidR="00552202" w:rsidRPr="00B64D4D" w:rsidRDefault="00552202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Cs w:val="44"/>
        <w:lang w:val="lv-LV"/>
      </w:rPr>
    </w:pPr>
    <w:r>
      <w:rPr>
        <w:rFonts w:ascii="Arial" w:hAnsi="Arial" w:cs="Arial"/>
        <w:bCs/>
        <w:szCs w:val="44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335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74CD379F"/>
    <w:multiLevelType w:val="hybridMultilevel"/>
    <w:tmpl w:val="1EE8284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8D19A8"/>
    <w:multiLevelType w:val="multilevel"/>
    <w:tmpl w:val="A0F8F3FC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0D85"/>
    <w:rsid w:val="00087708"/>
    <w:rsid w:val="0009404B"/>
    <w:rsid w:val="000B5473"/>
    <w:rsid w:val="000C4CB0"/>
    <w:rsid w:val="000E4EB6"/>
    <w:rsid w:val="0011189D"/>
    <w:rsid w:val="001233AA"/>
    <w:rsid w:val="001452D5"/>
    <w:rsid w:val="00157FB5"/>
    <w:rsid w:val="0018284E"/>
    <w:rsid w:val="001B2E18"/>
    <w:rsid w:val="001E3319"/>
    <w:rsid w:val="002051D3"/>
    <w:rsid w:val="002438AA"/>
    <w:rsid w:val="00296A05"/>
    <w:rsid w:val="002A71EA"/>
    <w:rsid w:val="002D3B5B"/>
    <w:rsid w:val="002D41D7"/>
    <w:rsid w:val="002D745A"/>
    <w:rsid w:val="0031251F"/>
    <w:rsid w:val="003459B9"/>
    <w:rsid w:val="00361BB6"/>
    <w:rsid w:val="003959A1"/>
    <w:rsid w:val="0044759D"/>
    <w:rsid w:val="004D47D9"/>
    <w:rsid w:val="004E51BA"/>
    <w:rsid w:val="00540422"/>
    <w:rsid w:val="00551361"/>
    <w:rsid w:val="00552202"/>
    <w:rsid w:val="00577970"/>
    <w:rsid w:val="005F2514"/>
    <w:rsid w:val="0060175D"/>
    <w:rsid w:val="006205EA"/>
    <w:rsid w:val="00624409"/>
    <w:rsid w:val="0063151B"/>
    <w:rsid w:val="00650074"/>
    <w:rsid w:val="006A1A3E"/>
    <w:rsid w:val="006D4FFD"/>
    <w:rsid w:val="00720161"/>
    <w:rsid w:val="007419F0"/>
    <w:rsid w:val="007F0972"/>
    <w:rsid w:val="007F52E2"/>
    <w:rsid w:val="007F54F5"/>
    <w:rsid w:val="00807AB7"/>
    <w:rsid w:val="00827057"/>
    <w:rsid w:val="00842511"/>
    <w:rsid w:val="008562DC"/>
    <w:rsid w:val="00880030"/>
    <w:rsid w:val="0089037C"/>
    <w:rsid w:val="00894397"/>
    <w:rsid w:val="008E4C08"/>
    <w:rsid w:val="008F2D09"/>
    <w:rsid w:val="009117A0"/>
    <w:rsid w:val="00920ED1"/>
    <w:rsid w:val="00946B64"/>
    <w:rsid w:val="00970465"/>
    <w:rsid w:val="00972208"/>
    <w:rsid w:val="009A4394"/>
    <w:rsid w:val="009C00E0"/>
    <w:rsid w:val="009D1685"/>
    <w:rsid w:val="00A50C50"/>
    <w:rsid w:val="00B35B4C"/>
    <w:rsid w:val="00B51C9C"/>
    <w:rsid w:val="00B51F10"/>
    <w:rsid w:val="00B64D4D"/>
    <w:rsid w:val="00BA0606"/>
    <w:rsid w:val="00BB795F"/>
    <w:rsid w:val="00BF4DFC"/>
    <w:rsid w:val="00C36D3B"/>
    <w:rsid w:val="00C516D8"/>
    <w:rsid w:val="00CA0990"/>
    <w:rsid w:val="00CD139B"/>
    <w:rsid w:val="00D00D85"/>
    <w:rsid w:val="00D0748E"/>
    <w:rsid w:val="00D1121C"/>
    <w:rsid w:val="00D11940"/>
    <w:rsid w:val="00D1199A"/>
    <w:rsid w:val="00D30307"/>
    <w:rsid w:val="00D931E1"/>
    <w:rsid w:val="00DB6200"/>
    <w:rsid w:val="00E07E7A"/>
    <w:rsid w:val="00E13A05"/>
    <w:rsid w:val="00E312A1"/>
    <w:rsid w:val="00E61AB9"/>
    <w:rsid w:val="00EA770A"/>
    <w:rsid w:val="00EB48E2"/>
    <w:rsid w:val="00EC4AAD"/>
    <w:rsid w:val="00EC518D"/>
    <w:rsid w:val="00EC75BA"/>
    <w:rsid w:val="00ED32FD"/>
    <w:rsid w:val="00EF1572"/>
    <w:rsid w:val="00F07E78"/>
    <w:rsid w:val="00FB6B06"/>
    <w:rsid w:val="00FC1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tilde-lv/tildestengine" w:name="veidnes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2D09"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8F2D09"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1199A"/>
    <w:rPr>
      <w:rFonts w:ascii="Calibri" w:hAnsi="Calibri" w:cs="Times New Roman"/>
      <w:b/>
      <w:bCs/>
      <w:lang w:eastAsia="en-US"/>
    </w:rPr>
  </w:style>
  <w:style w:type="paragraph" w:styleId="Header">
    <w:name w:val="header"/>
    <w:basedOn w:val="Normal"/>
    <w:link w:val="HeaderChar"/>
    <w:uiPriority w:val="99"/>
    <w:rsid w:val="008F2D09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1199A"/>
    <w:rPr>
      <w:rFonts w:cs="Times New Roman"/>
      <w:sz w:val="24"/>
      <w:szCs w:val="24"/>
      <w:lang w:eastAsia="en-US"/>
    </w:rPr>
  </w:style>
  <w:style w:type="paragraph" w:styleId="BodyText">
    <w:name w:val="Body Text"/>
    <w:basedOn w:val="Normal"/>
    <w:link w:val="BodyTextChar"/>
    <w:uiPriority w:val="99"/>
    <w:rsid w:val="008F2D09"/>
    <w:rPr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1199A"/>
    <w:rPr>
      <w:rFonts w:cs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1199A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4D47D9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2A71EA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1199A"/>
    <w:rPr>
      <w:rFonts w:cs="Times New Roman"/>
      <w:sz w:val="2"/>
      <w:lang w:eastAsia="en-US"/>
    </w:rPr>
  </w:style>
  <w:style w:type="paragraph" w:styleId="ListParagraph">
    <w:name w:val="List Paragraph"/>
    <w:basedOn w:val="Normal"/>
    <w:uiPriority w:val="99"/>
    <w:qFormat/>
    <w:rsid w:val="00D11940"/>
    <w:pPr>
      <w:ind w:left="720"/>
      <w:contextualSpacing/>
    </w:pPr>
  </w:style>
  <w:style w:type="paragraph" w:customStyle="1" w:styleId="tv20687921">
    <w:name w:val="tv206_87_921"/>
    <w:basedOn w:val="Normal"/>
    <w:uiPriority w:val="99"/>
    <w:rsid w:val="00EC75BA"/>
    <w:pPr>
      <w:spacing w:before="480" w:after="240" w:line="360" w:lineRule="auto"/>
      <w:ind w:firstLine="300"/>
      <w:jc w:val="right"/>
    </w:pPr>
    <w:rPr>
      <w:rFonts w:ascii="Verdana" w:hAnsi="Verdana"/>
      <w:sz w:val="18"/>
      <w:szCs w:val="18"/>
      <w:lang w:eastAsia="lv-LV"/>
    </w:rPr>
  </w:style>
  <w:style w:type="paragraph" w:customStyle="1" w:styleId="tv20787921">
    <w:name w:val="tv207_87_921"/>
    <w:basedOn w:val="Normal"/>
    <w:uiPriority w:val="99"/>
    <w:rsid w:val="00EC75BA"/>
    <w:pPr>
      <w:spacing w:after="567" w:line="360" w:lineRule="auto"/>
      <w:jc w:val="center"/>
    </w:pPr>
    <w:rPr>
      <w:rFonts w:ascii="Verdana" w:hAnsi="Verdana"/>
      <w:b/>
      <w:bCs/>
      <w:sz w:val="28"/>
      <w:szCs w:val="28"/>
      <w:lang w:eastAsia="lv-LV"/>
    </w:rPr>
  </w:style>
  <w:style w:type="character" w:styleId="CommentReference">
    <w:name w:val="annotation reference"/>
    <w:basedOn w:val="DefaultParagraphFont"/>
    <w:uiPriority w:val="99"/>
    <w:semiHidden/>
    <w:rsid w:val="00F07E78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07E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1199A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07E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D1199A"/>
    <w:rPr>
      <w:rFonts w:cs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458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subject/>
  <dc:creator>Ināra Krīgere</dc:creator>
  <cp:keywords/>
  <dc:description/>
  <cp:lastModifiedBy>Spīdola Ozoliņa</cp:lastModifiedBy>
  <cp:revision>15</cp:revision>
  <cp:lastPrinted>2013-03-01T07:11:00Z</cp:lastPrinted>
  <dcterms:created xsi:type="dcterms:W3CDTF">2013-02-14T11:50:00Z</dcterms:created>
  <dcterms:modified xsi:type="dcterms:W3CDTF">2013-03-01T07:11:00Z</dcterms:modified>
</cp:coreProperties>
</file>