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D186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FB6B06" w:rsidRDefault="00843FE1">
                  <w:r>
                    <w:t>NORA</w:t>
                  </w:r>
                  <w:bookmarkStart w:id="0" w:name="_GoBack"/>
                  <w:bookmarkEnd w:id="0"/>
                  <w:r>
                    <w:t>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E55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72206">
              <w:rPr>
                <w:bCs/>
                <w:szCs w:val="44"/>
                <w:lang w:val="lv-LV"/>
              </w:rPr>
              <w:t>8/2</w:t>
            </w:r>
          </w:p>
        </w:tc>
      </w:tr>
    </w:tbl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2D3052" w:rsidRDefault="002D3052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  <w:r w:rsidRPr="00DA21C0">
        <w:rPr>
          <w:u w:val="none"/>
        </w:rPr>
        <w:t>ILGTERMIŅA</w:t>
      </w:r>
      <w:r>
        <w:rPr>
          <w:u w:val="none"/>
        </w:rPr>
        <w:t xml:space="preserve"> AIZŅĒMUM</w:t>
      </w:r>
      <w:r w:rsidR="002628B2">
        <w:rPr>
          <w:u w:val="none"/>
        </w:rPr>
        <w:t>U</w:t>
      </w:r>
      <w:r>
        <w:rPr>
          <w:u w:val="none"/>
        </w:rPr>
        <w:t xml:space="preserve"> ŅEMŠAN</w:t>
      </w:r>
      <w:r w:rsidR="008E526D">
        <w:rPr>
          <w:u w:val="none"/>
        </w:rPr>
        <w:t>A</w:t>
      </w:r>
      <w:r>
        <w:rPr>
          <w:u w:val="none"/>
        </w:rPr>
        <w:t xml:space="preserve"> INVESTĪCIJĀM 2013.GADĀ</w:t>
      </w:r>
    </w:p>
    <w:p w:rsidR="00B72206" w:rsidRPr="006F4543" w:rsidRDefault="00B72206" w:rsidP="00B72206">
      <w:pPr>
        <w:jc w:val="center"/>
      </w:pPr>
      <w:r w:rsidRPr="006F4543">
        <w:t>(ziņo I.Škutāne)</w:t>
      </w:r>
    </w:p>
    <w:p w:rsidR="00B72206" w:rsidRPr="006F4543" w:rsidRDefault="00B72206" w:rsidP="00B72206">
      <w:pPr>
        <w:jc w:val="center"/>
      </w:pPr>
    </w:p>
    <w:p w:rsidR="00500D75" w:rsidRDefault="00500D75" w:rsidP="00500D7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- </w:t>
      </w:r>
      <w:r>
        <w:rPr>
          <w:bCs/>
        </w:rPr>
        <w:t xml:space="preserve">S.Stoļarovs, </w:t>
      </w:r>
      <w:r>
        <w:rPr>
          <w:color w:val="000000"/>
        </w:rPr>
        <w:t xml:space="preserve">S.Šalājevs, </w:t>
      </w:r>
      <w:r>
        <w:rPr>
          <w:bCs/>
        </w:rPr>
        <w:t xml:space="preserve">V.Grigorjevs, V.Ļevčenoks, R.Vectirāne, M.Buškevics, A.Garančs, D.Olte, A.Rāviņš, A.Rublis, J.Lange,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1 balsi ATTURAS </w:t>
      </w:r>
      <w:r>
        <w:rPr>
          <w:color w:val="000000"/>
        </w:rPr>
        <w:t xml:space="preserve">– D.Liepiņš, </w:t>
      </w:r>
    </w:p>
    <w:p w:rsidR="002438AA" w:rsidRPr="002438AA" w:rsidRDefault="002438AA" w:rsidP="002438AA"/>
    <w:p w:rsidR="007164AB" w:rsidRDefault="007164AB" w:rsidP="007164A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 15.panta pirmās daļas 4.punktu, 21. panta pirmās daļas 27.punktu, likuma “Par pašvaldību budžetiem” VI nodaļu, likuma ”Par valsts budžetu 2013.gadam” 14.panta trešo daļu</w:t>
      </w:r>
      <w:r w:rsidRPr="00B1796A">
        <w:rPr>
          <w:szCs w:val="24"/>
          <w:lang w:val="lv-LV" w:eastAsia="en-US"/>
        </w:rPr>
        <w:t xml:space="preserve"> </w:t>
      </w:r>
      <w:r w:rsidRPr="00B1796A">
        <w:rPr>
          <w:lang w:val="lv-LV"/>
        </w:rPr>
        <w:t>un Ministru kabineta 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7164AB" w:rsidRDefault="007164AB" w:rsidP="007164A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7164AB" w:rsidRPr="00B51C9C" w:rsidRDefault="007164AB" w:rsidP="007164A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164AB" w:rsidRDefault="007164AB" w:rsidP="007164AB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164AB" w:rsidRPr="00D7055C" w:rsidRDefault="007164AB" w:rsidP="007164AB">
      <w:pPr>
        <w:pStyle w:val="Header"/>
        <w:numPr>
          <w:ilvl w:val="0"/>
          <w:numId w:val="5"/>
        </w:numPr>
        <w:tabs>
          <w:tab w:val="clear" w:pos="4320"/>
        </w:tabs>
        <w:jc w:val="both"/>
        <w:rPr>
          <w:lang w:val="lv-LV"/>
        </w:rPr>
      </w:pPr>
      <w:r w:rsidRPr="00D7055C">
        <w:rPr>
          <w:lang w:val="lv-LV"/>
        </w:rPr>
        <w:t>Ņemt Latvijas Republikas Valsts kasē vai komercbankā</w:t>
      </w:r>
      <w:r w:rsidRPr="00D7055C">
        <w:rPr>
          <w:color w:val="FF0000"/>
          <w:lang w:val="lv-LV"/>
        </w:rPr>
        <w:t xml:space="preserve"> </w:t>
      </w:r>
      <w:r w:rsidRPr="00D7055C">
        <w:rPr>
          <w:lang w:val="lv-LV"/>
        </w:rPr>
        <w:t xml:space="preserve">ar tās noteikto kredīta procentu likmi ilgtermiņa aizņēmumu investīcijām uz 20 gadiem, pamatsummas atmaksu sākot ar 2016.gada otro </w:t>
      </w:r>
      <w:r>
        <w:rPr>
          <w:lang w:val="lv-LV"/>
        </w:rPr>
        <w:t xml:space="preserve">pusgadu </w:t>
      </w:r>
      <w:r w:rsidRPr="00D7055C">
        <w:rPr>
          <w:lang w:val="lv-LV"/>
        </w:rPr>
        <w:t xml:space="preserve">Jelgavas pilsētas pašvaldības pirmskolas izglītības iestādes Ganību ielā 66, Jelgavā </w:t>
      </w:r>
      <w:r>
        <w:rPr>
          <w:lang w:val="lv-LV"/>
        </w:rPr>
        <w:t>otrās</w:t>
      </w:r>
      <w:r w:rsidRPr="00D7055C">
        <w:rPr>
          <w:lang w:val="lv-LV"/>
        </w:rPr>
        <w:t xml:space="preserve"> kārta</w:t>
      </w:r>
      <w:r>
        <w:rPr>
          <w:lang w:val="lv-LV"/>
        </w:rPr>
        <w:t>s</w:t>
      </w:r>
      <w:r w:rsidRPr="00D7055C">
        <w:rPr>
          <w:lang w:val="lv-LV"/>
        </w:rPr>
        <w:t xml:space="preserve"> rekonstrukcijas darbiem Ls 1 012 820 (viens miljons divpadsmit tūkstoši astoņi simti divdesmit latu).</w:t>
      </w:r>
    </w:p>
    <w:p w:rsidR="007164AB" w:rsidRDefault="007164AB" w:rsidP="007164AB">
      <w:pPr>
        <w:pStyle w:val="Header"/>
        <w:numPr>
          <w:ilvl w:val="0"/>
          <w:numId w:val="5"/>
        </w:numPr>
        <w:jc w:val="both"/>
        <w:rPr>
          <w:lang w:val="lv-LV"/>
        </w:rPr>
      </w:pPr>
      <w:r>
        <w:rPr>
          <w:lang w:val="lv-LV"/>
        </w:rPr>
        <w:t>Aizņēmuma atmaksu garantēt ar 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72206" w:rsidRDefault="00B7220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72206" w:rsidRPr="0062093F" w:rsidRDefault="00B72206" w:rsidP="00B72206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B72206" w:rsidRPr="0062093F" w:rsidRDefault="00B72206" w:rsidP="00B72206">
      <w:pPr>
        <w:shd w:val="clear" w:color="auto" w:fill="FFFFFF"/>
        <w:rPr>
          <w:color w:val="000000"/>
        </w:rPr>
      </w:pPr>
    </w:p>
    <w:p w:rsidR="00B72206" w:rsidRPr="0062093F" w:rsidRDefault="00B72206" w:rsidP="00B7220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B72206" w:rsidRPr="0062093F" w:rsidRDefault="00B72206" w:rsidP="00B7220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B72206" w:rsidRPr="0062093F" w:rsidRDefault="00B72206" w:rsidP="00B72206">
      <w:pPr>
        <w:jc w:val="both"/>
      </w:pPr>
      <w:r w:rsidRPr="0062093F">
        <w:t>Jelgavā 2013.gada 2</w:t>
      </w:r>
      <w:r>
        <w:t>5</w:t>
      </w:r>
      <w:r w:rsidRPr="0062093F">
        <w:t>.jū</w:t>
      </w:r>
      <w:r>
        <w:t>l</w:t>
      </w:r>
      <w:r w:rsidRPr="0062093F">
        <w:t>ijā</w:t>
      </w:r>
    </w:p>
    <w:sectPr w:rsidR="00B72206" w:rsidRPr="0062093F" w:rsidSect="00843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68" w:rsidRDefault="008F4868">
      <w:r>
        <w:separator/>
      </w:r>
    </w:p>
  </w:endnote>
  <w:endnote w:type="continuationSeparator" w:id="0">
    <w:p w:rsidR="008F4868" w:rsidRDefault="008F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1" w:rsidRDefault="00843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1" w:rsidRDefault="00843F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1" w:rsidRDefault="00843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68" w:rsidRDefault="008F4868">
      <w:r>
        <w:separator/>
      </w:r>
    </w:p>
  </w:footnote>
  <w:footnote w:type="continuationSeparator" w:id="0">
    <w:p w:rsidR="008F4868" w:rsidRDefault="008F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1" w:rsidRDefault="00843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1" w:rsidRDefault="00843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0269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77"/>
    <w:multiLevelType w:val="hybridMultilevel"/>
    <w:tmpl w:val="7F10EB0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CC5580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5482E4D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D9900E3"/>
    <w:multiLevelType w:val="hybridMultilevel"/>
    <w:tmpl w:val="52E21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D19A8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D85"/>
    <w:rsid w:val="00013779"/>
    <w:rsid w:val="00093B05"/>
    <w:rsid w:val="000C4CB0"/>
    <w:rsid w:val="000D1861"/>
    <w:rsid w:val="000D6F63"/>
    <w:rsid w:val="000E4EB6"/>
    <w:rsid w:val="001544FE"/>
    <w:rsid w:val="00157FB5"/>
    <w:rsid w:val="001B2E18"/>
    <w:rsid w:val="002051D3"/>
    <w:rsid w:val="002438AA"/>
    <w:rsid w:val="002628B2"/>
    <w:rsid w:val="002A71EA"/>
    <w:rsid w:val="002C624C"/>
    <w:rsid w:val="002D3052"/>
    <w:rsid w:val="002D745A"/>
    <w:rsid w:val="002E545B"/>
    <w:rsid w:val="0031251F"/>
    <w:rsid w:val="0033502F"/>
    <w:rsid w:val="003959A1"/>
    <w:rsid w:val="003B0BEA"/>
    <w:rsid w:val="0044759D"/>
    <w:rsid w:val="00447E15"/>
    <w:rsid w:val="00497EB8"/>
    <w:rsid w:val="004D47D9"/>
    <w:rsid w:val="00500D75"/>
    <w:rsid w:val="00540422"/>
    <w:rsid w:val="00577970"/>
    <w:rsid w:val="0060175D"/>
    <w:rsid w:val="006078A2"/>
    <w:rsid w:val="0063151B"/>
    <w:rsid w:val="007164AB"/>
    <w:rsid w:val="00720161"/>
    <w:rsid w:val="007419F0"/>
    <w:rsid w:val="007F3225"/>
    <w:rsid w:val="007F54F5"/>
    <w:rsid w:val="00807AB7"/>
    <w:rsid w:val="00814C48"/>
    <w:rsid w:val="00827057"/>
    <w:rsid w:val="00843FE1"/>
    <w:rsid w:val="008562DC"/>
    <w:rsid w:val="00880030"/>
    <w:rsid w:val="008C63A0"/>
    <w:rsid w:val="008E526D"/>
    <w:rsid w:val="008E5545"/>
    <w:rsid w:val="008F4868"/>
    <w:rsid w:val="00922BAA"/>
    <w:rsid w:val="009A6CBF"/>
    <w:rsid w:val="009C00E0"/>
    <w:rsid w:val="00A02691"/>
    <w:rsid w:val="00B1796A"/>
    <w:rsid w:val="00B35B4C"/>
    <w:rsid w:val="00B51C9C"/>
    <w:rsid w:val="00B64D4D"/>
    <w:rsid w:val="00B72206"/>
    <w:rsid w:val="00BB795F"/>
    <w:rsid w:val="00C153DD"/>
    <w:rsid w:val="00C36D3B"/>
    <w:rsid w:val="00C516D8"/>
    <w:rsid w:val="00CA0990"/>
    <w:rsid w:val="00CD139B"/>
    <w:rsid w:val="00D00D85"/>
    <w:rsid w:val="00D1121C"/>
    <w:rsid w:val="00D559ED"/>
    <w:rsid w:val="00D7055C"/>
    <w:rsid w:val="00DE5CFD"/>
    <w:rsid w:val="00E27256"/>
    <w:rsid w:val="00E61AB9"/>
    <w:rsid w:val="00EA770A"/>
    <w:rsid w:val="00EC518D"/>
    <w:rsid w:val="00F00FD0"/>
    <w:rsid w:val="00F0580E"/>
    <w:rsid w:val="00F36B3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1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447E1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7E1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sid w:val="00447E15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164A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164A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2AF7-7EFE-4644-9819-436C703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14</cp:revision>
  <cp:lastPrinted>2013-07-25T09:19:00Z</cp:lastPrinted>
  <dcterms:created xsi:type="dcterms:W3CDTF">2013-07-10T10:46:00Z</dcterms:created>
  <dcterms:modified xsi:type="dcterms:W3CDTF">2013-07-25T09:19:00Z</dcterms:modified>
</cp:coreProperties>
</file>