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635A60">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A46C22">
                            <w:r>
                              <w:t>NORA</w:t>
                            </w:r>
                            <w:bookmarkStart w:id="0" w:name="_GoBack"/>
                            <w:bookmarkEnd w:id="0"/>
                            <w:r>
                              <w:t>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A46C22">
                      <w:r>
                        <w:t>NORA</w:t>
                      </w:r>
                      <w:bookmarkStart w:id="1" w:name="_GoBack"/>
                      <w:bookmarkEnd w:id="1"/>
                      <w:r>
                        <w:t>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BF0409" w:rsidTr="001244D9">
        <w:tc>
          <w:tcPr>
            <w:tcW w:w="6768" w:type="dxa"/>
          </w:tcPr>
          <w:p w:rsidR="00BF0409" w:rsidRDefault="004272C2" w:rsidP="00800FA5">
            <w:pPr>
              <w:pStyle w:val="Header"/>
              <w:tabs>
                <w:tab w:val="clear" w:pos="4320"/>
                <w:tab w:val="clear" w:pos="8640"/>
              </w:tabs>
              <w:rPr>
                <w:bCs/>
                <w:szCs w:val="44"/>
                <w:lang w:val="lv-LV"/>
              </w:rPr>
            </w:pPr>
            <w:r>
              <w:rPr>
                <w:bCs/>
                <w:szCs w:val="44"/>
                <w:lang w:val="lv-LV"/>
              </w:rPr>
              <w:t>2</w:t>
            </w:r>
            <w:r w:rsidR="00800FA5">
              <w:rPr>
                <w:bCs/>
                <w:szCs w:val="44"/>
                <w:lang w:val="lv-LV"/>
              </w:rPr>
              <w:t>8</w:t>
            </w:r>
            <w:r w:rsidR="007F4B3B">
              <w:rPr>
                <w:bCs/>
                <w:szCs w:val="44"/>
                <w:lang w:val="lv-LV"/>
              </w:rPr>
              <w:t>.11</w:t>
            </w:r>
            <w:r w:rsidR="00BF0409">
              <w:rPr>
                <w:bCs/>
                <w:szCs w:val="44"/>
                <w:lang w:val="lv-LV"/>
              </w:rPr>
              <w:t>.2013.</w:t>
            </w:r>
          </w:p>
        </w:tc>
        <w:tc>
          <w:tcPr>
            <w:tcW w:w="1980" w:type="dxa"/>
          </w:tcPr>
          <w:p w:rsidR="00BF0409" w:rsidRDefault="00BF0409" w:rsidP="001244D9">
            <w:pPr>
              <w:pStyle w:val="Header"/>
              <w:tabs>
                <w:tab w:val="clear" w:pos="4320"/>
                <w:tab w:val="clear" w:pos="8640"/>
              </w:tabs>
              <w:rPr>
                <w:bCs/>
                <w:szCs w:val="44"/>
                <w:lang w:val="lv-LV"/>
              </w:rPr>
            </w:pPr>
            <w:r>
              <w:rPr>
                <w:bCs/>
                <w:szCs w:val="44"/>
                <w:lang w:val="lv-LV"/>
              </w:rPr>
              <w:t>Nr.</w:t>
            </w:r>
            <w:r w:rsidR="00A46C22">
              <w:rPr>
                <w:bCs/>
                <w:szCs w:val="44"/>
                <w:lang w:val="lv-LV"/>
              </w:rPr>
              <w:t>15/25</w:t>
            </w:r>
          </w:p>
        </w:tc>
      </w:tr>
    </w:tbl>
    <w:p w:rsidR="00BF0409" w:rsidRPr="00D4248B" w:rsidRDefault="00BF0409" w:rsidP="00BF0409">
      <w:pPr>
        <w:pStyle w:val="Header"/>
        <w:tabs>
          <w:tab w:val="clear" w:pos="4320"/>
          <w:tab w:val="clear" w:pos="8640"/>
        </w:tabs>
        <w:rPr>
          <w:bCs/>
          <w:sz w:val="20"/>
          <w:lang w:val="lv-LV"/>
        </w:rPr>
      </w:pPr>
    </w:p>
    <w:p w:rsidR="00DD6CAB" w:rsidRDefault="00DD6CAB" w:rsidP="004272C2">
      <w:pPr>
        <w:pStyle w:val="Heading6"/>
        <w:pBdr>
          <w:bottom w:val="single" w:sz="12" w:space="1" w:color="auto"/>
        </w:pBdr>
        <w:rPr>
          <w:u w:val="none"/>
        </w:rPr>
      </w:pPr>
      <w:r>
        <w:rPr>
          <w:u w:val="none"/>
        </w:rPr>
        <w:t>ATTEIKUMS IZSNIEGT ATĻAUJU TOTALIZATORA VAI DERĪBU LIKMJU PIEŅEMŠANAS VIETAS ATVĒRŠANAI</w:t>
      </w:r>
    </w:p>
    <w:p w:rsidR="004272C2" w:rsidRDefault="00DD6CAB" w:rsidP="004272C2">
      <w:pPr>
        <w:pStyle w:val="Heading6"/>
        <w:pBdr>
          <w:bottom w:val="single" w:sz="12" w:space="1" w:color="auto"/>
        </w:pBdr>
        <w:rPr>
          <w:u w:val="none"/>
        </w:rPr>
      </w:pPr>
      <w:r>
        <w:rPr>
          <w:u w:val="none"/>
        </w:rPr>
        <w:t>LIELAJĀ IELĀ 22-2, JELGAVĀ</w:t>
      </w:r>
    </w:p>
    <w:p w:rsidR="00BF0409" w:rsidRPr="00A46C22" w:rsidRDefault="00A46C22" w:rsidP="00A46C22">
      <w:pPr>
        <w:jc w:val="center"/>
      </w:pPr>
      <w:r w:rsidRPr="00A46C22">
        <w:t xml:space="preserve">(ziņo </w:t>
      </w:r>
      <w:proofErr w:type="spellStart"/>
      <w:r w:rsidRPr="00A46C22">
        <w:t>I.Škutāne</w:t>
      </w:r>
      <w:proofErr w:type="spellEnd"/>
      <w:r w:rsidRPr="00A46C22">
        <w:t>)</w:t>
      </w:r>
    </w:p>
    <w:p w:rsidR="00A46C22" w:rsidRDefault="00A46C22" w:rsidP="00A46C22">
      <w:pPr>
        <w:jc w:val="center"/>
        <w:rPr>
          <w:sz w:val="20"/>
          <w:szCs w:val="20"/>
        </w:rPr>
      </w:pPr>
    </w:p>
    <w:p w:rsidR="00A46C22" w:rsidRDefault="00A46C22" w:rsidP="00A46C22">
      <w:pPr>
        <w:jc w:val="center"/>
        <w:rPr>
          <w:sz w:val="20"/>
          <w:szCs w:val="20"/>
        </w:rPr>
      </w:pPr>
    </w:p>
    <w:p w:rsidR="00DD6CAB" w:rsidRDefault="00DD6CAB" w:rsidP="003F32D9">
      <w:pPr>
        <w:ind w:right="-193" w:firstLine="709"/>
        <w:jc w:val="both"/>
      </w:pPr>
      <w:r>
        <w:t xml:space="preserve">Jelgavas pilsētas </w:t>
      </w:r>
      <w:r w:rsidR="005841DE">
        <w:t>domes administrācijā</w:t>
      </w:r>
      <w:r>
        <w:t xml:space="preserve"> 01.11.2013. saņemts SIA „</w:t>
      </w:r>
      <w:proofErr w:type="spellStart"/>
      <w:r>
        <w:t>Optibet</w:t>
      </w:r>
      <w:proofErr w:type="spellEnd"/>
      <w:r>
        <w:t xml:space="preserve">” (reģistrācijas Nr.40003462947, juridiskā adrese Ganību dambis 10A, Rīga, LV-1045) iesniegums </w:t>
      </w:r>
      <w:r w:rsidR="003F32D9">
        <w:t xml:space="preserve">Nr.136/10-2013 </w:t>
      </w:r>
      <w:r>
        <w:t>ar lūgumu izsniegt atļauju totalizatora vai derību likmju pieņemšanas vietas atvēršanai Lielajā ielā 22-2, Jelgavā</w:t>
      </w:r>
      <w:r w:rsidR="00CB417E">
        <w:t>.</w:t>
      </w:r>
    </w:p>
    <w:p w:rsidR="00CB417E" w:rsidRDefault="00CB417E" w:rsidP="003F32D9">
      <w:pPr>
        <w:ind w:right="-193" w:firstLine="709"/>
        <w:jc w:val="both"/>
      </w:pPr>
      <w:r>
        <w:t>Finanšu ministrijas Izložu un azartspēļu uzraudzības inspekcija SIA „</w:t>
      </w:r>
      <w:proofErr w:type="spellStart"/>
      <w:r>
        <w:t>Optibet</w:t>
      </w:r>
      <w:proofErr w:type="spellEnd"/>
      <w:r>
        <w:t>” 2005.gada 21.martā uz nenoteiktu laiku izsniegusi licenci azartspēļu organizēšanai un uzturēšanai Nr. TD-09 (azartspēļu nosaukums: totalizators).</w:t>
      </w:r>
    </w:p>
    <w:p w:rsidR="00CB417E" w:rsidRDefault="00CB3A0D" w:rsidP="00B71C94">
      <w:pPr>
        <w:ind w:right="-193" w:firstLine="709"/>
        <w:jc w:val="both"/>
      </w:pPr>
      <w:r>
        <w:t xml:space="preserve">2013.gada 14.oktobrī starp Antru </w:t>
      </w:r>
      <w:proofErr w:type="spellStart"/>
      <w:r>
        <w:t>Bairāmovu</w:t>
      </w:r>
      <w:proofErr w:type="spellEnd"/>
      <w:r>
        <w:t xml:space="preserve"> un SIA „</w:t>
      </w:r>
      <w:proofErr w:type="spellStart"/>
      <w:r>
        <w:t>Optibet</w:t>
      </w:r>
      <w:proofErr w:type="spellEnd"/>
      <w:r>
        <w:t xml:space="preserve">” uz laiku līdz 2018.gada 31.decembrim noslēgts nomas līgums par </w:t>
      </w:r>
      <w:r w:rsidR="00275771">
        <w:t>telpu</w:t>
      </w:r>
      <w:r w:rsidR="003F32D9">
        <w:t xml:space="preserve"> </w:t>
      </w:r>
      <w:r>
        <w:t>Lielajā ielā 22-2, Jelgavā</w:t>
      </w:r>
      <w:r w:rsidR="00B71C94">
        <w:t>,</w:t>
      </w:r>
      <w:r>
        <w:t xml:space="preserve"> ar kopējo platību 54.9 </w:t>
      </w:r>
      <w:r w:rsidRPr="009E4EAE">
        <w:t>m</w:t>
      </w:r>
      <w:r w:rsidRPr="009E4EAE">
        <w:rPr>
          <w:vertAlign w:val="superscript"/>
        </w:rPr>
        <w:t>2</w:t>
      </w:r>
      <w:r w:rsidR="00B71C94" w:rsidRPr="009E4EAE">
        <w:t>,</w:t>
      </w:r>
      <w:r>
        <w:t xml:space="preserve"> nomu totalizatora un derību un citu azartspēļu organizēšanas vajadzībām un bāra darbības vajadzībām.</w:t>
      </w:r>
    </w:p>
    <w:p w:rsidR="00CB3A0D" w:rsidRPr="004E2E10" w:rsidRDefault="00CB3A0D" w:rsidP="003F32D9">
      <w:pPr>
        <w:ind w:right="-193" w:firstLine="720"/>
        <w:jc w:val="both"/>
      </w:pPr>
      <w:r w:rsidRPr="004E2E10">
        <w:t xml:space="preserve">Azartspēļu </w:t>
      </w:r>
      <w:r>
        <w:t xml:space="preserve">un </w:t>
      </w:r>
      <w:r w:rsidRPr="004E2E10">
        <w:t xml:space="preserve">izložu likuma 41.pants nosaka konkrētus nosacījumus (arī vietas), kuru esamību pašvaldībai uzliek par pienākumu atteikt atļaujas izsniegšanu azartspēļu </w:t>
      </w:r>
      <w:r w:rsidR="005841DE">
        <w:t>organizēšanai</w:t>
      </w:r>
      <w:r w:rsidRPr="004E2E10">
        <w:t xml:space="preserve"> (turpmāk – atļaujas izsniegšana). Minētā likuma 42.panta trešā daļa papildus likuma 41.pantā minētajiem kritērijiem nosaka pašvaldībai pienākumu izvērtēt to, vai azartspēļu organizēšana konkrētajā vietā nerada būtisku valsts un attiecīgās administratīvās teritorijas iedzīvotāju interešu aizskārumu. Likumdevējs ar šo tiesību normu ir noteicis pašvaldībai konkrētas rīcības brīvības robežas saistībā ar būtisku valsts un attiecīgās administratīvās teritorijas iedzīvotāju interešu aizskāruma konstatēšanu.</w:t>
      </w:r>
    </w:p>
    <w:p w:rsidR="00CB3A0D" w:rsidRPr="004E2E10" w:rsidRDefault="00CB3A0D" w:rsidP="003F32D9">
      <w:pPr>
        <w:ind w:right="-193" w:firstLine="720"/>
        <w:jc w:val="both"/>
      </w:pPr>
      <w:r w:rsidRPr="004E2E10">
        <w:t xml:space="preserve">Izvērtējot Azartspēļu un izložu likuma 37.panta pirmās daļas 3. un 6.punktu, 39.panta pirmo daļu, 41.panta pirmās daļas 6.punktu un otro daļu, konstatējams, ka Saeima ir noteikusi vairākus konkrētus ierobežojumus (aizliegumus) azartspēļu organizēšanai ar mērķi novērst, samazināt (vai vismaz nepalielināt) no azartspēlēm atkarīgo personu skaitu (it īpaši nepilngadīgo vidū). Tāpēc Azartspēļu un izložu likumā ir noteikti konkrēti </w:t>
      </w:r>
      <w:r>
        <w:t xml:space="preserve">Latvijas Republikas </w:t>
      </w:r>
      <w:r w:rsidRPr="004E2E10">
        <w:t xml:space="preserve">Satversmes 106.pantā noteikto cilvēktiesību ierobežojumi, kas ir nepieciešami demokrātiskā sabiedrībā, lai sasniegtu minēto mērķi. Tostarp </w:t>
      </w:r>
      <w:r>
        <w:t xml:space="preserve">Latvijas Republikas </w:t>
      </w:r>
      <w:r w:rsidRPr="004E2E10">
        <w:t xml:space="preserve">Satversmes 116.pants nosaka, ka ir pieļaujams ierobežot personas tiesības brīvi izvēlēties nodarbošanos (arī komercdarbības veikšanu, atverot spēļu zāli), ja tas paredzēts likumā, lai aizsargātu citu cilvēku tiesības, demokrātisko valsts iekārtu, sabiedrības drošību, labklājību un tikumību. Tomēr, izvērtējot minētās Azartspēļu un izložu likuma normas, kurās ir noteikti konkrēti ierobežojumi azartspēļu organizēšanas jomā, konstatējams, ka tie nav vērsti tikai uz nepilngadīgām personām, bet arī uz pilngadīgām personām (piemēram, likuma 41.panta otrās daļas 1., 2. un 4.punktā noteiktās </w:t>
      </w:r>
      <w:r w:rsidRPr="004E2E10">
        <w:lastRenderedPageBreak/>
        <w:t>vietas, kurās ir aizliegts organizēt azartspēles, nav tādas, kurās atrastos galvenokārt nepilngadīgas personas, bet tieši pretēji – tajās ikdienā strādā, darbojas un uzturas pilngadīgas personas), tādējādi vērsti uz sabiedrības interešu nodrošināšanu.</w:t>
      </w:r>
    </w:p>
    <w:p w:rsidR="00CB3A0D" w:rsidRPr="004E2E10" w:rsidRDefault="00CB3A0D" w:rsidP="003F32D9">
      <w:pPr>
        <w:ind w:right="-193" w:firstLine="720"/>
        <w:jc w:val="both"/>
      </w:pPr>
      <w:r w:rsidRPr="004E2E10">
        <w:t>Azartspēļu un izložu likumā skaidri noteikto kritēriju ievērošana, organizējot azartspēles, ir vērsta uz to, lai samazinātu risku un iespēju personām kļūt atkarīgām no azartspēlēm, nevis lai garantētu šādas iespējamības nepieļaušanu (jo, arī ievērojot likumā noteiktos ierobežojumus, nevar tikt izslēgta atkarības izraisīšanas iespēja). Azartspēļu un izložu likumā skaidri noteikto kritēriju (ierobežojumu) mērķis nav tikai novērst atkarības no azartspēlēm izraisīšanas risku un iespēju, bet arī nodrošināt, ka azartspēles (spēles, kas saistītas ar būtisku risku un iespēju izraisīt atkarību) netiek organizētas vietās (iestādēs), kuru būtība, mērķis un uzdevumi nav un nevar būt saistīti ar azartspēļu organizēšanu, līdzdarbību tajās (piemēram, likuma 41.panta otrās daļas 1., 2. un 4.punkts). Savukārt Azartspēļu un izložu likuma 41.panta piektā daļa norāda uz to, ka viens no līdzekļiem, kā tiek sasniegts šajā likumā noteikto ierobežojumu mērķis, ir pēc iespējas samazināt reklāmu par azartspēļu vietām, t.i., nodrošināt situāciju, ka par azartspēļu vietas esamību uzzina un tādējādi azartspēlēs piedalās personas, kuras apzināti vēlas to darīt. Izvērtējot konkrēti noteiktos ierobežojumus (aizliegumus) azartspēļu organizēšanai, ir noskaidroti vairāki sasniedzamie mērķi, kas turklāt atbilst arī Azartspēļu un izložu likuma 42.panta pirmajā daļā noteiktajam likuma mērķim – nodrošināt sabiedrības interešu aizsardzību azartspēļu organizēšanas jomā.</w:t>
      </w:r>
    </w:p>
    <w:p w:rsidR="00CB3A0D" w:rsidRDefault="00CB3A0D" w:rsidP="003F32D9">
      <w:pPr>
        <w:ind w:right="-193" w:firstLine="720"/>
        <w:jc w:val="both"/>
      </w:pPr>
      <w:r w:rsidRPr="004E2E10">
        <w:t xml:space="preserve">Saeima šī likuma 42.panta trešajā daļā ir devusi tiesības katrai pašvaldībai, ievērojot likumā skaidri noteikto kritēriju raksturu un attiecīgās teritorijas faktiskos apstākļus, attiecīgajā administratīvajā teritorijā noteikt papildu kritērijus (kuriem pēc sava rakstura – iemesliem, kāpēc tiek saskaņā ar kritēriju aizliegta azartspēļu organizēšana – ir jāatbilst likumā skaidri noteiktajiem kritērijiem) azartspēļu organizēšanas ierobežošanai (aizliegšanai), ja tiek konstatēta likuma 42.panta trešajā daļā noteikto nosacījumu iestāšanās </w:t>
      </w:r>
      <w:proofErr w:type="gramStart"/>
      <w:r w:rsidRPr="004E2E10">
        <w:t>(</w:t>
      </w:r>
      <w:proofErr w:type="gramEnd"/>
      <w:r w:rsidRPr="004E2E10">
        <w:t>piemēram, ir tikai pašsaprotami, ka aizliegums organizēt azartspēles valsts (arī pašvaldības) iestādē, izglītības iestādē vai baznīcā pēc būtības (mērķa) liedz organizēt azartspēles valsts iestādes, izglītības iestādes vai baznīcas tuvumā – pretējā gadījumā netiek sasniegts Azartspēļu un izložu likumā noteikto aizliegumu mērķis. Šāda rīcības brīvības noteikšana pašvaldībām ir tikai loģiska, jo katrā pašvaldības administratīvajā teritorijā atkarībā no teritorijas faktiskā plānojuma, Azartspēļu un izložu likuma 41.panta otrajā daļā noteikto vietu izvietojuma un citiem apstākļiem papildu kritēriji var atšķirties.</w:t>
      </w:r>
    </w:p>
    <w:p w:rsidR="00525048" w:rsidRPr="004E2E10" w:rsidRDefault="00525048" w:rsidP="003F32D9">
      <w:pPr>
        <w:ind w:right="-193" w:firstLine="720"/>
        <w:jc w:val="both"/>
      </w:pPr>
      <w:r w:rsidRPr="004E2E10">
        <w:t>Saskaņā ar Administratīvā procesa likuma 62.panta pirmo daļu, lemjot par tāda administratīvā akta izdošanu, kurš varētu būt nelabvēlīgs adresātam vai trešajai personai, iestāde noskaidro un izvērtē adresāta vai trešās personas viedokli un argumentus šajā lietā.</w:t>
      </w:r>
    </w:p>
    <w:p w:rsidR="00525048" w:rsidRPr="004E2E10" w:rsidRDefault="00525048" w:rsidP="003F32D9">
      <w:pPr>
        <w:ind w:right="-193" w:firstLine="720"/>
        <w:jc w:val="both"/>
      </w:pPr>
      <w:r w:rsidRPr="004E2E10">
        <w:t>Savukārt Administratīvā procesa likuma 62.panta otrās daļas 3.punkts pieļauj, ka var neveikt personas viedokļa un argumentu noskaidrošanu, ja no gadījuma būtības izriet, ka personas viedokļa noskaidrošana nav iespējama vai nav adekvāta.</w:t>
      </w:r>
    </w:p>
    <w:p w:rsidR="00525048" w:rsidRPr="004E2E10" w:rsidRDefault="00525048" w:rsidP="003F32D9">
      <w:pPr>
        <w:ind w:right="-193" w:firstLine="720"/>
        <w:jc w:val="both"/>
      </w:pPr>
      <w:r w:rsidRPr="004E2E10">
        <w:t>Azartspēļu un izložu likuma 42.panta piektā daļa uzliek pašvaldībai par pienākumu pieņemt lēmumu par atļaujas izsniegšanu vai atteikt atļaujas izsniegšanu 45 dienu laikā no iesnieguma saņemšanas dienas.</w:t>
      </w:r>
    </w:p>
    <w:p w:rsidR="00525048" w:rsidRPr="004E2E10" w:rsidRDefault="00525048" w:rsidP="003F32D9">
      <w:pPr>
        <w:ind w:right="-193" w:firstLine="720"/>
        <w:jc w:val="both"/>
      </w:pPr>
      <w:r w:rsidRPr="004E2E10">
        <w:t xml:space="preserve"> Ņemot vērā to, ka iesniegumā un tam pievienotajos materiālos minētā informācija ir pilnīga, kā arī gadījuma būtību un Azartspēļu un izložu likumā pašvaldībai uzlikto pienākumu (likumā noteikts iesnieguma izskatīšanas un lēmuma pieņemšanas termiņš), iesniedzēja viedokļa un argumentu noskaidrošana pēc būtības nav adekvāta.</w:t>
      </w:r>
    </w:p>
    <w:p w:rsidR="00525048" w:rsidRPr="004E2E10" w:rsidRDefault="00525048" w:rsidP="003F32D9">
      <w:pPr>
        <w:ind w:right="-193" w:firstLine="720"/>
        <w:jc w:val="both"/>
      </w:pPr>
    </w:p>
    <w:p w:rsidR="00525048" w:rsidRPr="004E2E10" w:rsidRDefault="00525048" w:rsidP="003F32D9">
      <w:pPr>
        <w:ind w:right="-193" w:firstLine="720"/>
        <w:jc w:val="both"/>
      </w:pPr>
      <w:r w:rsidRPr="004E2E10">
        <w:t>Ņemot vērā minēto Azartspēļu un izložu likuma tiesību normu interpretāciju, norādām, ka, izvērtējot SIA „</w:t>
      </w:r>
      <w:proofErr w:type="spellStart"/>
      <w:r w:rsidR="005841DE">
        <w:t>Optibet</w:t>
      </w:r>
      <w:proofErr w:type="spellEnd"/>
      <w:r w:rsidRPr="004E2E10">
        <w:t xml:space="preserve">” iesniegumu, Jelgavas </w:t>
      </w:r>
      <w:r w:rsidR="005841DE">
        <w:t xml:space="preserve">pilsētas </w:t>
      </w:r>
      <w:r>
        <w:t>pašvaldības</w:t>
      </w:r>
      <w:r w:rsidRPr="004E2E10">
        <w:t xml:space="preserve"> pienākums ir papildus likumā skaidri noteiktajiem kritērijiem izvērtēt arī iesnieguma atbilstību likuma 42.panta trešās daļas saturam: </w:t>
      </w:r>
    </w:p>
    <w:p w:rsidR="00525048" w:rsidRPr="004E2E10" w:rsidRDefault="00525048" w:rsidP="00275771">
      <w:pPr>
        <w:numPr>
          <w:ilvl w:val="0"/>
          <w:numId w:val="6"/>
        </w:numPr>
        <w:tabs>
          <w:tab w:val="clear" w:pos="1338"/>
          <w:tab w:val="num" w:pos="1134"/>
        </w:tabs>
        <w:ind w:left="0" w:right="-193" w:firstLine="720"/>
        <w:jc w:val="both"/>
      </w:pPr>
      <w:r w:rsidRPr="004E2E10">
        <w:t xml:space="preserve">atbilstoši iesniegumam azartspēļu organizēšanas vietas adrese </w:t>
      </w:r>
      <w:r w:rsidR="00275771">
        <w:t>Lielā iela 22, Jelgava</w:t>
      </w:r>
      <w:r w:rsidRPr="004E2E10">
        <w:t xml:space="preserve"> </w:t>
      </w:r>
      <w:r w:rsidR="00275771">
        <w:t xml:space="preserve">ir </w:t>
      </w:r>
      <w:r w:rsidRPr="004E2E10">
        <w:t>dzīvojamā ēka</w:t>
      </w:r>
      <w:r w:rsidR="00D50DD0">
        <w:t xml:space="preserve"> ar </w:t>
      </w:r>
      <w:r w:rsidR="0009180C">
        <w:t>19</w:t>
      </w:r>
      <w:r w:rsidR="00D50DD0">
        <w:t xml:space="preserve"> dzīvokļiem</w:t>
      </w:r>
      <w:r w:rsidRPr="004E2E10">
        <w:t xml:space="preserve">, kura atrodas līdzās </w:t>
      </w:r>
      <w:r w:rsidR="00D50DD0">
        <w:t xml:space="preserve">citām </w:t>
      </w:r>
      <w:r w:rsidRPr="004E2E10">
        <w:t xml:space="preserve">daudzdzīvokļu ēkām, </w:t>
      </w:r>
      <w:r w:rsidR="00D50DD0">
        <w:t>Latvija</w:t>
      </w:r>
      <w:r w:rsidR="001F3250" w:rsidRPr="009E4EAE">
        <w:t>s</w:t>
      </w:r>
      <w:r w:rsidR="00D50DD0">
        <w:t xml:space="preserve"> Lauksaimniecības universitātes dienesta viesnīcām, </w:t>
      </w:r>
      <w:r w:rsidRPr="004E2E10">
        <w:t>tirdznie</w:t>
      </w:r>
      <w:r w:rsidR="0009180C">
        <w:t>cības vietām, Valsts policijai,</w:t>
      </w:r>
      <w:r w:rsidRPr="004E2E10">
        <w:t xml:space="preserve"> </w:t>
      </w:r>
      <w:r w:rsidR="0009180C">
        <w:t xml:space="preserve">Lielā </w:t>
      </w:r>
      <w:r w:rsidR="0009180C">
        <w:lastRenderedPageBreak/>
        <w:t xml:space="preserve">iela ir pilsētas galvenā iela, </w:t>
      </w:r>
      <w:r w:rsidRPr="004E2E10">
        <w:t>šajā teritorijā notiek intensīva iedzīvotāju pārvietošanās. Tuvākajā apkārtnē (izvērtējot atļaujas izsniegšanu, ir jāvērtē ne tikai konkrētā vieta (adrese), bet arī tuvākā apkārtne – vairāki blakus kvartāli, jo tikai šādi var izvērtēt iespējamo interešu aizskārumu, proti, ja konkrētā vieta nav izolēta no tuvākās apkārtnes, tad gar to, objektīvu iemeslu dēļ, pārvietojas arī personas no citām pilsētas vietām, bet jo īpaši no tuvākās apkārtnes</w:t>
      </w:r>
      <w:r w:rsidR="00FD563C">
        <w:t>)</w:t>
      </w:r>
      <w:r w:rsidRPr="004E2E10">
        <w:t xml:space="preserve">, atrodas vairākas daudzdzīvokļu ēkas, </w:t>
      </w:r>
      <w:r w:rsidR="00C210D6">
        <w:t xml:space="preserve">dienesta viesnīcas, </w:t>
      </w:r>
      <w:r w:rsidRPr="004E2E10">
        <w:t>tirdzniecības vietas un baznīca;</w:t>
      </w:r>
    </w:p>
    <w:p w:rsidR="00525048" w:rsidRPr="004E2E10" w:rsidRDefault="00525048" w:rsidP="00275771">
      <w:pPr>
        <w:numPr>
          <w:ilvl w:val="0"/>
          <w:numId w:val="6"/>
        </w:numPr>
        <w:tabs>
          <w:tab w:val="clear" w:pos="1338"/>
          <w:tab w:val="num" w:pos="1134"/>
        </w:tabs>
        <w:ind w:left="0" w:right="-193" w:firstLine="720"/>
        <w:jc w:val="both"/>
      </w:pPr>
      <w:r w:rsidRPr="004E2E10">
        <w:t>tādējādi konstatējam</w:t>
      </w:r>
      <w:r w:rsidR="001F3250" w:rsidRPr="009E4EAE">
        <w:t>s</w:t>
      </w:r>
      <w:r w:rsidRPr="004E2E10">
        <w:t xml:space="preserve">, ka Jelgavas </w:t>
      </w:r>
      <w:r w:rsidR="0009180C">
        <w:t xml:space="preserve">pilsētas </w:t>
      </w:r>
      <w:r>
        <w:t>pašvaldība</w:t>
      </w:r>
      <w:r w:rsidRPr="004E2E10">
        <w:t xml:space="preserve"> nav tiesīga izsniegt atļauju </w:t>
      </w:r>
      <w:r w:rsidR="00C210D6">
        <w:t>totalizatora vai derību pieņemšanas vietas</w:t>
      </w:r>
      <w:r w:rsidRPr="004E2E10">
        <w:t xml:space="preserve"> atvēršanai konkrētajā vietā. Ņemot vērā</w:t>
      </w:r>
      <w:r w:rsidR="00FD563C">
        <w:t>, ka plānotā azartspēļu atvēršanas vieta</w:t>
      </w:r>
      <w:r w:rsidRPr="004E2E10">
        <w:t xml:space="preserve"> </w:t>
      </w:r>
      <w:r w:rsidR="00FD563C">
        <w:t>i</w:t>
      </w:r>
      <w:r w:rsidR="00CF48A4">
        <w:t>r</w:t>
      </w:r>
      <w:r w:rsidR="00FD563C">
        <w:t xml:space="preserve"> daudzdzīvokļu ēka un </w:t>
      </w:r>
      <w:r w:rsidR="00CF48A4">
        <w:t>šajā teritorijā</w:t>
      </w:r>
      <w:r w:rsidR="00CF48A4" w:rsidRPr="004E2E10">
        <w:t xml:space="preserve"> </w:t>
      </w:r>
      <w:r w:rsidR="00CF48A4">
        <w:t xml:space="preserve">notiek intensīva </w:t>
      </w:r>
      <w:r w:rsidRPr="004E2E10">
        <w:t>iedzīvotāju pārvietošanā</w:t>
      </w:r>
      <w:r w:rsidR="00FD563C">
        <w:t xml:space="preserve">s, </w:t>
      </w:r>
      <w:r w:rsidRPr="004E2E10">
        <w:t>minētā vieta ir pielīdzināma Azartspēļu un izlo</w:t>
      </w:r>
      <w:r w:rsidR="00FD563C">
        <w:t>žu likuma 41.panta otrās daļas</w:t>
      </w:r>
      <w:r w:rsidRPr="004E2E10">
        <w:t xml:space="preserve"> 2., </w:t>
      </w:r>
      <w:r w:rsidR="00FD563C">
        <w:t>9 un 10</w:t>
      </w:r>
      <w:r w:rsidRPr="004E2E10">
        <w:t xml:space="preserve">.punktā norādītajām vietām, kurām ir aizliegta atļaujas izsniegšana. Var secināt – daudzdzīvokļu ēku, </w:t>
      </w:r>
      <w:r w:rsidR="00FD563C">
        <w:t>dienesta viesnīcu</w:t>
      </w:r>
      <w:r w:rsidR="00CF48A4">
        <w:t>, baznīcas</w:t>
      </w:r>
      <w:r w:rsidR="00FD563C">
        <w:t xml:space="preserve"> un </w:t>
      </w:r>
      <w:r w:rsidR="00CF48A4">
        <w:t>tirdzniecības vietu</w:t>
      </w:r>
      <w:r w:rsidRPr="004E2E10">
        <w:t xml:space="preserve"> esamība tuvākajā apkārtnē ļauj Jelgavas </w:t>
      </w:r>
      <w:r w:rsidR="009B7982">
        <w:t xml:space="preserve">pilsētas </w:t>
      </w:r>
      <w:r>
        <w:t>pašvaldībai</w:t>
      </w:r>
      <w:r w:rsidRPr="004E2E10">
        <w:t xml:space="preserve"> pamatoti uzskatīt, ka pastāv liela iespēja, ka gar azartspēļu organizēšanas iespējamo atrašanās vietu ikdienā pārvietojas liels daudzums pilngadīgu un nepilngadīgu personu. Tātad ir pietiekams pamats uzskatīt, ka izsniedzot atļauju azartspēļu organizēšanai konkrētajā vietā, netiktu </w:t>
      </w:r>
      <w:r w:rsidR="00D13279">
        <w:t>ievērotas dzīvojamās ēkas Lielajā ielā 22, Jelgavā iedzīvotāju intereses, netiktu</w:t>
      </w:r>
      <w:r w:rsidRPr="004E2E10">
        <w:t xml:space="preserve"> novērsts, ne arī samazināts risks, ka azartspēļu organizēšanas vietā varētu nokļū</w:t>
      </w:r>
      <w:r w:rsidR="00D13279">
        <w:t>t tās personas, kurām nav nolūka</w:t>
      </w:r>
      <w:r w:rsidRPr="004E2E10">
        <w:t xml:space="preserve"> doties uz azartspēļu vietu, tādējādi netiktu nodrošināts Azartspēļu un izložu likumā noteikto ierobežojumu noteikšanas mērķis – novērst, samazināt (vai vismaz nepalielināt) no azartspēlēm atkarīgo personu skaitu – un tiktu radīts būtisks valsts un attiecīgās administratīvās teritorijas iedzīvotāju interešu aizskārums.</w:t>
      </w:r>
    </w:p>
    <w:p w:rsidR="00525048" w:rsidRPr="004E2E10" w:rsidRDefault="00525048" w:rsidP="003F32D9">
      <w:pPr>
        <w:ind w:right="-193" w:firstLine="720"/>
        <w:jc w:val="both"/>
      </w:pPr>
      <w:r w:rsidRPr="004E2E10">
        <w:t>Ņemot vērā</w:t>
      </w:r>
      <w:r w:rsidR="001F3250">
        <w:t xml:space="preserve"> iepriekšminēto un saskaņā ar </w:t>
      </w:r>
      <w:r w:rsidR="001F3250" w:rsidRPr="009E4EAE">
        <w:t>Latvijas Republikas</w:t>
      </w:r>
      <w:r w:rsidR="005759D4">
        <w:t xml:space="preserve"> Satversmes 106. un 116.pantu, </w:t>
      </w:r>
      <w:r w:rsidRPr="004E2E10">
        <w:t>Azartspēļu un izložu likuma 41., 42.panta pirmo, trešo un piekto daļu, Administratīvā procesa likuma 12.pantu un 13.pantu, 62.panta pirmo daļu, otrā</w:t>
      </w:r>
      <w:r w:rsidR="005759D4">
        <w:t>s daļas 3.punktu un trešo daļu,</w:t>
      </w:r>
    </w:p>
    <w:p w:rsidR="00525048" w:rsidRPr="004E2E10" w:rsidRDefault="00525048" w:rsidP="003F32D9">
      <w:pPr>
        <w:pStyle w:val="Header"/>
        <w:tabs>
          <w:tab w:val="clear" w:pos="4320"/>
          <w:tab w:val="clear" w:pos="8640"/>
        </w:tabs>
        <w:ind w:right="-193"/>
        <w:jc w:val="both"/>
        <w:rPr>
          <w:b/>
          <w:bCs/>
          <w:szCs w:val="24"/>
          <w:lang w:val="lv-LV"/>
        </w:rPr>
      </w:pPr>
    </w:p>
    <w:p w:rsidR="00BF0409" w:rsidRPr="00B51C9C" w:rsidRDefault="00BF0409" w:rsidP="003F32D9">
      <w:pPr>
        <w:pStyle w:val="Header"/>
        <w:tabs>
          <w:tab w:val="clear" w:pos="4320"/>
          <w:tab w:val="clear" w:pos="8640"/>
        </w:tabs>
        <w:ind w:right="-193"/>
        <w:rPr>
          <w:b/>
          <w:bCs/>
          <w:lang w:val="lv-LV"/>
        </w:rPr>
      </w:pPr>
      <w:r w:rsidRPr="00B51C9C">
        <w:rPr>
          <w:b/>
          <w:bCs/>
          <w:lang w:val="lv-LV"/>
        </w:rPr>
        <w:t xml:space="preserve">JELGAVAS </w:t>
      </w:r>
      <w:r>
        <w:rPr>
          <w:b/>
          <w:bCs/>
          <w:lang w:val="lv-LV"/>
        </w:rPr>
        <w:t xml:space="preserve">PILSĒTAS </w:t>
      </w:r>
      <w:r w:rsidRPr="00B51C9C">
        <w:rPr>
          <w:b/>
          <w:bCs/>
          <w:lang w:val="lv-LV"/>
        </w:rPr>
        <w:t>DOME NOLEMJ:</w:t>
      </w:r>
    </w:p>
    <w:p w:rsidR="00BF0409" w:rsidRPr="00D4248B" w:rsidRDefault="00BF0409" w:rsidP="003F32D9">
      <w:pPr>
        <w:pStyle w:val="Header"/>
        <w:tabs>
          <w:tab w:val="clear" w:pos="4320"/>
          <w:tab w:val="clear" w:pos="8640"/>
        </w:tabs>
        <w:ind w:right="-193" w:firstLine="360"/>
        <w:rPr>
          <w:sz w:val="20"/>
          <w:lang w:val="lv-LV"/>
        </w:rPr>
      </w:pPr>
    </w:p>
    <w:p w:rsidR="00525048" w:rsidRPr="004E2E10" w:rsidRDefault="00525048" w:rsidP="003F32D9">
      <w:pPr>
        <w:pStyle w:val="BodyTextIndent"/>
        <w:ind w:left="0" w:right="-193"/>
        <w:jc w:val="both"/>
      </w:pPr>
      <w:r w:rsidRPr="004E2E10">
        <w:t>Atteikt SIA</w:t>
      </w:r>
      <w:r>
        <w:t xml:space="preserve"> „</w:t>
      </w:r>
      <w:proofErr w:type="spellStart"/>
      <w:r>
        <w:t>Optibet</w:t>
      </w:r>
      <w:proofErr w:type="spellEnd"/>
      <w:r w:rsidRPr="004E2E10">
        <w:t xml:space="preserve">” </w:t>
      </w:r>
      <w:r>
        <w:t xml:space="preserve">reģistrācijas Nr.40003462947, juridiskā adrese Ganību dambis 10A, Rīga, LV-1045) </w:t>
      </w:r>
      <w:r w:rsidRPr="004E2E10">
        <w:t xml:space="preserve">izsniegt atļauju </w:t>
      </w:r>
      <w:r>
        <w:t>totalizatora vai derību likmju pieņemšanas vietas atvēršanai Lielajā</w:t>
      </w:r>
      <w:r w:rsidRPr="004E2E10">
        <w:t xml:space="preserve"> ielā </w:t>
      </w:r>
      <w:r>
        <w:t>22-2</w:t>
      </w:r>
      <w:r w:rsidRPr="004E2E10">
        <w:t>, Jelgavā.</w:t>
      </w:r>
    </w:p>
    <w:p w:rsidR="00525048" w:rsidRPr="00524E15" w:rsidRDefault="00525048" w:rsidP="003F32D9">
      <w:pPr>
        <w:pStyle w:val="BodyText"/>
        <w:ind w:right="-193"/>
        <w:jc w:val="both"/>
        <w:rPr>
          <w:b/>
          <w:szCs w:val="24"/>
        </w:rPr>
      </w:pPr>
      <w:r w:rsidRPr="00524E15">
        <w:rPr>
          <w:szCs w:val="24"/>
        </w:rPr>
        <w:t>Jelgavas pilsētas domes lēmumu viena mēneša laikā var pārsūdzēt Administratīvās rajona tiesas Jelgavas tiesu namā (Atmodas ielā 19, Jelgavā, LV-3007).</w:t>
      </w:r>
    </w:p>
    <w:p w:rsidR="00525048" w:rsidRDefault="00525048" w:rsidP="003F32D9">
      <w:pPr>
        <w:tabs>
          <w:tab w:val="num" w:pos="360"/>
        </w:tabs>
        <w:ind w:left="360" w:right="-193" w:hanging="360"/>
        <w:jc w:val="both"/>
        <w:rPr>
          <w:sz w:val="20"/>
          <w:szCs w:val="20"/>
        </w:rPr>
      </w:pPr>
    </w:p>
    <w:p w:rsidR="00A46C22" w:rsidRPr="00D4248B" w:rsidRDefault="00A46C22" w:rsidP="003F32D9">
      <w:pPr>
        <w:tabs>
          <w:tab w:val="num" w:pos="360"/>
        </w:tabs>
        <w:ind w:left="360" w:right="-193" w:hanging="360"/>
        <w:jc w:val="both"/>
        <w:rPr>
          <w:sz w:val="20"/>
          <w:szCs w:val="20"/>
        </w:rPr>
      </w:pPr>
    </w:p>
    <w:p w:rsidR="00A46C22" w:rsidRPr="0062093F" w:rsidRDefault="00A46C22" w:rsidP="00A46C22">
      <w:pPr>
        <w:shd w:val="clear" w:color="auto" w:fill="FFFFFF"/>
        <w:rPr>
          <w:color w:val="000000"/>
        </w:rPr>
      </w:pPr>
      <w:r w:rsidRPr="0062093F">
        <w:rPr>
          <w:color w:val="000000"/>
        </w:rPr>
        <w:t xml:space="preserve">Domes priekšsēdētājs </w:t>
      </w:r>
      <w:r w:rsidRPr="0062093F">
        <w:rPr>
          <w:color w:val="000000"/>
        </w:rPr>
        <w:tab/>
      </w:r>
      <w:proofErr w:type="gramStart"/>
      <w:r w:rsidRPr="0062093F">
        <w:rPr>
          <w:color w:val="000000"/>
        </w:rPr>
        <w:t xml:space="preserve">             </w:t>
      </w:r>
      <w:proofErr w:type="gramEnd"/>
      <w:r w:rsidRPr="0062093F">
        <w:rPr>
          <w:color w:val="000000"/>
        </w:rPr>
        <w:tab/>
      </w:r>
      <w:r w:rsidRPr="0062093F">
        <w:rPr>
          <w:color w:val="000000"/>
        </w:rPr>
        <w:tab/>
        <w:t xml:space="preserve">(paraksts)               </w:t>
      </w:r>
      <w:r w:rsidRPr="0062093F">
        <w:rPr>
          <w:color w:val="000000"/>
        </w:rPr>
        <w:tab/>
        <w:t xml:space="preserve">       A.Rāviņš</w:t>
      </w:r>
    </w:p>
    <w:p w:rsidR="00A46C22" w:rsidRDefault="00A46C22" w:rsidP="00A46C22">
      <w:pPr>
        <w:rPr>
          <w:color w:val="000000"/>
          <w:szCs w:val="20"/>
          <w:lang w:eastAsia="lv-LV"/>
        </w:rPr>
      </w:pPr>
    </w:p>
    <w:p w:rsidR="00A46C22" w:rsidRPr="0062093F" w:rsidRDefault="00A46C22" w:rsidP="00A46C22">
      <w:pPr>
        <w:rPr>
          <w:color w:val="000000"/>
          <w:szCs w:val="20"/>
          <w:lang w:eastAsia="lv-LV"/>
        </w:rPr>
      </w:pPr>
      <w:r w:rsidRPr="0062093F">
        <w:rPr>
          <w:color w:val="000000"/>
          <w:szCs w:val="20"/>
          <w:lang w:eastAsia="lv-LV"/>
        </w:rPr>
        <w:t>NORAKSTS PAREIZS</w:t>
      </w:r>
    </w:p>
    <w:p w:rsidR="00A46C22" w:rsidRPr="0062093F" w:rsidRDefault="00A46C22" w:rsidP="00A46C22">
      <w:pPr>
        <w:rPr>
          <w:color w:val="000000"/>
          <w:szCs w:val="20"/>
          <w:lang w:eastAsia="lv-LV"/>
        </w:rPr>
      </w:pPr>
      <w:r w:rsidRPr="0062093F">
        <w:rPr>
          <w:color w:val="000000"/>
          <w:szCs w:val="20"/>
          <w:lang w:eastAsia="lv-LV"/>
        </w:rPr>
        <w:t>Kancelejas vadītāja</w:t>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proofErr w:type="gramStart"/>
      <w:r w:rsidRPr="0062093F">
        <w:rPr>
          <w:color w:val="000000"/>
          <w:szCs w:val="20"/>
          <w:lang w:eastAsia="lv-LV"/>
        </w:rPr>
        <w:t xml:space="preserve">        </w:t>
      </w:r>
      <w:proofErr w:type="gramEnd"/>
      <w:r w:rsidRPr="0062093F">
        <w:rPr>
          <w:color w:val="000000"/>
          <w:szCs w:val="20"/>
          <w:lang w:eastAsia="lv-LV"/>
        </w:rPr>
        <w:t>S.Ozoliņa</w:t>
      </w:r>
    </w:p>
    <w:p w:rsidR="00A46C22" w:rsidRPr="0062093F" w:rsidRDefault="00A46C22" w:rsidP="00A46C22">
      <w:pPr>
        <w:jc w:val="both"/>
      </w:pPr>
      <w:r w:rsidRPr="0062093F">
        <w:t>Jelgavā 2013.gada 2</w:t>
      </w:r>
      <w:r>
        <w:t>8.novembrī</w:t>
      </w:r>
    </w:p>
    <w:sectPr w:rsidR="00A46C22" w:rsidRPr="0062093F" w:rsidSect="00A46C22">
      <w:footerReference w:type="default" r:id="rId9"/>
      <w:headerReference w:type="first" r:id="rId10"/>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28" w:rsidRDefault="00EC2128">
      <w:r>
        <w:separator/>
      </w:r>
    </w:p>
  </w:endnote>
  <w:endnote w:type="continuationSeparator" w:id="0">
    <w:p w:rsidR="00EC2128" w:rsidRDefault="00EC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084003"/>
      <w:docPartObj>
        <w:docPartGallery w:val="Page Numbers (Bottom of Page)"/>
        <w:docPartUnique/>
      </w:docPartObj>
    </w:sdtPr>
    <w:sdtEndPr>
      <w:rPr>
        <w:noProof/>
      </w:rPr>
    </w:sdtEndPr>
    <w:sdtContent>
      <w:p w:rsidR="00A46C22" w:rsidRDefault="00A46C22">
        <w:pPr>
          <w:pStyle w:val="Footer"/>
          <w:jc w:val="center"/>
        </w:pPr>
        <w:r>
          <w:fldChar w:fldCharType="begin"/>
        </w:r>
        <w:r>
          <w:instrText xml:space="preserve"> PAGE   \* MERGEFORMAT </w:instrText>
        </w:r>
        <w:r>
          <w:fldChar w:fldCharType="separate"/>
        </w:r>
        <w:r w:rsidR="0041048C">
          <w:rPr>
            <w:noProof/>
          </w:rPr>
          <w:t>3</w:t>
        </w:r>
        <w:r>
          <w:rPr>
            <w:noProof/>
          </w:rPr>
          <w:fldChar w:fldCharType="end"/>
        </w:r>
      </w:p>
    </w:sdtContent>
  </w:sdt>
  <w:p w:rsidR="00A46C22" w:rsidRDefault="00A46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28" w:rsidRDefault="00EC2128">
      <w:r>
        <w:separator/>
      </w:r>
    </w:p>
  </w:footnote>
  <w:footnote w:type="continuationSeparator" w:id="0">
    <w:p w:rsidR="00EC2128" w:rsidRDefault="00EC2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635A60"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6BB26B6A" wp14:editId="36CFA889">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DC450F"/>
    <w:multiLevelType w:val="hybridMultilevel"/>
    <w:tmpl w:val="FDBE0DB4"/>
    <w:lvl w:ilvl="0" w:tplc="96C22D80">
      <w:start w:val="1"/>
      <w:numFmt w:val="decimal"/>
      <w:lvlText w:val="%1)"/>
      <w:lvlJc w:val="left"/>
      <w:pPr>
        <w:tabs>
          <w:tab w:val="num" w:pos="1338"/>
        </w:tabs>
        <w:ind w:left="1338" w:hanging="61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4E282B27"/>
    <w:multiLevelType w:val="hybridMultilevel"/>
    <w:tmpl w:val="E3920B2A"/>
    <w:lvl w:ilvl="0" w:tplc="1D9C7020">
      <w:start w:val="1"/>
      <w:numFmt w:val="decimal"/>
      <w:lvlText w:val="%1."/>
      <w:lvlJc w:val="left"/>
      <w:pPr>
        <w:tabs>
          <w:tab w:val="num" w:pos="1348"/>
        </w:tabs>
        <w:ind w:left="1348" w:hanging="630"/>
      </w:pPr>
      <w:rPr>
        <w:rFonts w:hint="default"/>
      </w:rPr>
    </w:lvl>
    <w:lvl w:ilvl="1" w:tplc="04090019" w:tentative="1">
      <w:start w:val="1"/>
      <w:numFmt w:val="lowerLetter"/>
      <w:lvlText w:val="%2."/>
      <w:lvlJc w:val="left"/>
      <w:pPr>
        <w:tabs>
          <w:tab w:val="num" w:pos="1798"/>
        </w:tabs>
        <w:ind w:left="1798" w:hanging="360"/>
      </w:pPr>
    </w:lvl>
    <w:lvl w:ilvl="2" w:tplc="0409001B" w:tentative="1">
      <w:start w:val="1"/>
      <w:numFmt w:val="lowerRoman"/>
      <w:lvlText w:val="%3."/>
      <w:lvlJc w:val="right"/>
      <w:pPr>
        <w:tabs>
          <w:tab w:val="num" w:pos="2518"/>
        </w:tabs>
        <w:ind w:left="2518" w:hanging="180"/>
      </w:pPr>
    </w:lvl>
    <w:lvl w:ilvl="3" w:tplc="0409000F" w:tentative="1">
      <w:start w:val="1"/>
      <w:numFmt w:val="decimal"/>
      <w:lvlText w:val="%4."/>
      <w:lvlJc w:val="left"/>
      <w:pPr>
        <w:tabs>
          <w:tab w:val="num" w:pos="3238"/>
        </w:tabs>
        <w:ind w:left="3238" w:hanging="360"/>
      </w:pPr>
    </w:lvl>
    <w:lvl w:ilvl="4" w:tplc="04090019" w:tentative="1">
      <w:start w:val="1"/>
      <w:numFmt w:val="lowerLetter"/>
      <w:lvlText w:val="%5."/>
      <w:lvlJc w:val="left"/>
      <w:pPr>
        <w:tabs>
          <w:tab w:val="num" w:pos="3958"/>
        </w:tabs>
        <w:ind w:left="3958" w:hanging="360"/>
      </w:pPr>
    </w:lvl>
    <w:lvl w:ilvl="5" w:tplc="0409001B" w:tentative="1">
      <w:start w:val="1"/>
      <w:numFmt w:val="lowerRoman"/>
      <w:lvlText w:val="%6."/>
      <w:lvlJc w:val="right"/>
      <w:pPr>
        <w:tabs>
          <w:tab w:val="num" w:pos="4678"/>
        </w:tabs>
        <w:ind w:left="4678" w:hanging="180"/>
      </w:pPr>
    </w:lvl>
    <w:lvl w:ilvl="6" w:tplc="0409000F" w:tentative="1">
      <w:start w:val="1"/>
      <w:numFmt w:val="decimal"/>
      <w:lvlText w:val="%7."/>
      <w:lvlJc w:val="left"/>
      <w:pPr>
        <w:tabs>
          <w:tab w:val="num" w:pos="5398"/>
        </w:tabs>
        <w:ind w:left="5398" w:hanging="360"/>
      </w:pPr>
    </w:lvl>
    <w:lvl w:ilvl="7" w:tplc="04090019" w:tentative="1">
      <w:start w:val="1"/>
      <w:numFmt w:val="lowerLetter"/>
      <w:lvlText w:val="%8."/>
      <w:lvlJc w:val="left"/>
      <w:pPr>
        <w:tabs>
          <w:tab w:val="num" w:pos="6118"/>
        </w:tabs>
        <w:ind w:left="6118" w:hanging="360"/>
      </w:pPr>
    </w:lvl>
    <w:lvl w:ilvl="8" w:tplc="0409001B" w:tentative="1">
      <w:start w:val="1"/>
      <w:numFmt w:val="lowerRoman"/>
      <w:lvlText w:val="%9."/>
      <w:lvlJc w:val="right"/>
      <w:pPr>
        <w:tabs>
          <w:tab w:val="num" w:pos="6838"/>
        </w:tabs>
        <w:ind w:left="6838" w:hanging="180"/>
      </w:pPr>
    </w:lvl>
  </w:abstractNum>
  <w:abstractNum w:abstractNumId="5">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873D6"/>
    <w:rsid w:val="0009180C"/>
    <w:rsid w:val="000C4CB0"/>
    <w:rsid w:val="000E4EB6"/>
    <w:rsid w:val="001132CE"/>
    <w:rsid w:val="001244D9"/>
    <w:rsid w:val="00157FB5"/>
    <w:rsid w:val="0019137C"/>
    <w:rsid w:val="001B2E18"/>
    <w:rsid w:val="001F3250"/>
    <w:rsid w:val="002051D3"/>
    <w:rsid w:val="00205F51"/>
    <w:rsid w:val="00210049"/>
    <w:rsid w:val="002156A1"/>
    <w:rsid w:val="0023077F"/>
    <w:rsid w:val="002438AA"/>
    <w:rsid w:val="00275771"/>
    <w:rsid w:val="002A6D6B"/>
    <w:rsid w:val="002A71EA"/>
    <w:rsid w:val="002C1673"/>
    <w:rsid w:val="002D745A"/>
    <w:rsid w:val="002F0E24"/>
    <w:rsid w:val="00301517"/>
    <w:rsid w:val="0031251F"/>
    <w:rsid w:val="003959A1"/>
    <w:rsid w:val="003C5170"/>
    <w:rsid w:val="003E03B4"/>
    <w:rsid w:val="003F32D9"/>
    <w:rsid w:val="0041048C"/>
    <w:rsid w:val="004272C2"/>
    <w:rsid w:val="0044759D"/>
    <w:rsid w:val="004B0234"/>
    <w:rsid w:val="004D47D9"/>
    <w:rsid w:val="004E5F75"/>
    <w:rsid w:val="0051530B"/>
    <w:rsid w:val="00525048"/>
    <w:rsid w:val="00540422"/>
    <w:rsid w:val="0057537B"/>
    <w:rsid w:val="005759D4"/>
    <w:rsid w:val="00577970"/>
    <w:rsid w:val="005841DE"/>
    <w:rsid w:val="005A2E0E"/>
    <w:rsid w:val="005B6138"/>
    <w:rsid w:val="005C5893"/>
    <w:rsid w:val="005D02D6"/>
    <w:rsid w:val="005E78FA"/>
    <w:rsid w:val="0060175D"/>
    <w:rsid w:val="00604212"/>
    <w:rsid w:val="00612CA9"/>
    <w:rsid w:val="00614D31"/>
    <w:rsid w:val="0062025C"/>
    <w:rsid w:val="0063151B"/>
    <w:rsid w:val="00635A60"/>
    <w:rsid w:val="006717EC"/>
    <w:rsid w:val="006E05B7"/>
    <w:rsid w:val="00720161"/>
    <w:rsid w:val="00730F57"/>
    <w:rsid w:val="007419F0"/>
    <w:rsid w:val="007930F7"/>
    <w:rsid w:val="007951A7"/>
    <w:rsid w:val="007A6ADC"/>
    <w:rsid w:val="007F4B3B"/>
    <w:rsid w:val="007F54F5"/>
    <w:rsid w:val="00800FA5"/>
    <w:rsid w:val="0080553C"/>
    <w:rsid w:val="008063AD"/>
    <w:rsid w:val="008075A0"/>
    <w:rsid w:val="00807AB7"/>
    <w:rsid w:val="00820657"/>
    <w:rsid w:val="00827057"/>
    <w:rsid w:val="00830BF1"/>
    <w:rsid w:val="00841526"/>
    <w:rsid w:val="008562DC"/>
    <w:rsid w:val="00880030"/>
    <w:rsid w:val="008D0003"/>
    <w:rsid w:val="008E245C"/>
    <w:rsid w:val="00932FFB"/>
    <w:rsid w:val="00942D96"/>
    <w:rsid w:val="00951088"/>
    <w:rsid w:val="009875FD"/>
    <w:rsid w:val="0099370D"/>
    <w:rsid w:val="009A00E2"/>
    <w:rsid w:val="009B591C"/>
    <w:rsid w:val="009B7982"/>
    <w:rsid w:val="009C00E0"/>
    <w:rsid w:val="009E4EAE"/>
    <w:rsid w:val="00A0545A"/>
    <w:rsid w:val="00A365CD"/>
    <w:rsid w:val="00A42D74"/>
    <w:rsid w:val="00A46C22"/>
    <w:rsid w:val="00B13CAA"/>
    <w:rsid w:val="00B25801"/>
    <w:rsid w:val="00B35B4C"/>
    <w:rsid w:val="00B36A76"/>
    <w:rsid w:val="00B42A33"/>
    <w:rsid w:val="00B51C9C"/>
    <w:rsid w:val="00B64D4D"/>
    <w:rsid w:val="00B71C94"/>
    <w:rsid w:val="00B96D5F"/>
    <w:rsid w:val="00BB5819"/>
    <w:rsid w:val="00BB795F"/>
    <w:rsid w:val="00BF0409"/>
    <w:rsid w:val="00C210D6"/>
    <w:rsid w:val="00C36D3B"/>
    <w:rsid w:val="00C516D8"/>
    <w:rsid w:val="00C61F04"/>
    <w:rsid w:val="00C63016"/>
    <w:rsid w:val="00C90658"/>
    <w:rsid w:val="00C94DF1"/>
    <w:rsid w:val="00CA0990"/>
    <w:rsid w:val="00CA5FF7"/>
    <w:rsid w:val="00CB3A0D"/>
    <w:rsid w:val="00CB417E"/>
    <w:rsid w:val="00CC6D4B"/>
    <w:rsid w:val="00CD139B"/>
    <w:rsid w:val="00CE5D8D"/>
    <w:rsid w:val="00CF48A4"/>
    <w:rsid w:val="00D00D85"/>
    <w:rsid w:val="00D1121C"/>
    <w:rsid w:val="00D13279"/>
    <w:rsid w:val="00D17E6E"/>
    <w:rsid w:val="00D4248B"/>
    <w:rsid w:val="00D435C6"/>
    <w:rsid w:val="00D50973"/>
    <w:rsid w:val="00D50DD0"/>
    <w:rsid w:val="00DD6CAB"/>
    <w:rsid w:val="00E26411"/>
    <w:rsid w:val="00E547D0"/>
    <w:rsid w:val="00E61AB9"/>
    <w:rsid w:val="00E66018"/>
    <w:rsid w:val="00E741A6"/>
    <w:rsid w:val="00EA2CCC"/>
    <w:rsid w:val="00EA302B"/>
    <w:rsid w:val="00EA770A"/>
    <w:rsid w:val="00EC2128"/>
    <w:rsid w:val="00EC518D"/>
    <w:rsid w:val="00ED16D5"/>
    <w:rsid w:val="00FB2F47"/>
    <w:rsid w:val="00FB6B06"/>
    <w:rsid w:val="00FD1B48"/>
    <w:rsid w:val="00FD56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525048"/>
    <w:pPr>
      <w:spacing w:after="120"/>
      <w:ind w:left="283"/>
    </w:pPr>
  </w:style>
  <w:style w:type="character" w:customStyle="1" w:styleId="BodyTextIndentChar">
    <w:name w:val="Body Text Indent Char"/>
    <w:link w:val="BodyTextIndent"/>
    <w:rsid w:val="00525048"/>
    <w:rPr>
      <w:sz w:val="24"/>
      <w:szCs w:val="24"/>
      <w:lang w:eastAsia="en-US"/>
    </w:rPr>
  </w:style>
  <w:style w:type="character" w:customStyle="1" w:styleId="FooterChar">
    <w:name w:val="Footer Char"/>
    <w:basedOn w:val="DefaultParagraphFont"/>
    <w:link w:val="Footer"/>
    <w:uiPriority w:val="99"/>
    <w:rsid w:val="00A46C22"/>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525048"/>
    <w:pPr>
      <w:spacing w:after="120"/>
      <w:ind w:left="283"/>
    </w:pPr>
  </w:style>
  <w:style w:type="character" w:customStyle="1" w:styleId="BodyTextIndentChar">
    <w:name w:val="Body Text Indent Char"/>
    <w:link w:val="BodyTextIndent"/>
    <w:rsid w:val="00525048"/>
    <w:rPr>
      <w:sz w:val="24"/>
      <w:szCs w:val="24"/>
      <w:lang w:eastAsia="en-US"/>
    </w:rPr>
  </w:style>
  <w:style w:type="character" w:customStyle="1" w:styleId="FooterChar">
    <w:name w:val="Footer Char"/>
    <w:basedOn w:val="DefaultParagraphFont"/>
    <w:link w:val="Footer"/>
    <w:uiPriority w:val="99"/>
    <w:rsid w:val="00A46C2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34E2A-E70A-4AFB-839C-1441082B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1-28                                                                                                                          </vt:lpstr>
    </vt:vector>
  </TitlesOfParts>
  <Company>Dome</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                                                                                                                          </dc:title>
  <dc:subject/>
  <dc:creator>Lija Golubeva</dc:creator>
  <cp:keywords/>
  <dc:description/>
  <cp:lastModifiedBy>Spīdola Ozoliņa</cp:lastModifiedBy>
  <cp:revision>4</cp:revision>
  <cp:lastPrinted>2013-11-28T13:16:00Z</cp:lastPrinted>
  <dcterms:created xsi:type="dcterms:W3CDTF">2013-11-13T11:11:00Z</dcterms:created>
  <dcterms:modified xsi:type="dcterms:W3CDTF">2013-11-28T13:16:00Z</dcterms:modified>
</cp:coreProperties>
</file>