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9" w:rsidRPr="002F639B" w:rsidRDefault="00D9238B" w:rsidP="0085170C">
      <w:pPr>
        <w:jc w:val="center"/>
        <w:rPr>
          <w:b/>
          <w:bCs/>
        </w:rPr>
      </w:pPr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F639B">
        <w:rPr>
          <w:b/>
        </w:rPr>
        <w:t>2</w:t>
      </w:r>
      <w:r w:rsidR="006017C5">
        <w:rPr>
          <w:b/>
        </w:rPr>
        <w:t>8</w:t>
      </w:r>
      <w:r w:rsidR="00364155">
        <w:rPr>
          <w:b/>
        </w:rPr>
        <w:t>.</w:t>
      </w:r>
      <w:r w:rsidR="0085170C">
        <w:rPr>
          <w:b/>
        </w:rPr>
        <w:t>NOVEMBRA</w:t>
      </w:r>
      <w:r w:rsidR="00364155">
        <w:rPr>
          <w:b/>
          <w:bCs/>
        </w:rPr>
        <w:t xml:space="preserve"> SAISTOŠO NOTEIKUMU Nr.</w:t>
      </w:r>
      <w:r w:rsidR="00D65088">
        <w:rPr>
          <w:b/>
          <w:bCs/>
        </w:rPr>
        <w:t>13-50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B560A1" w:rsidRPr="00B560A1">
        <w:rPr>
          <w:b/>
          <w:bCs/>
        </w:rPr>
        <w:t>GROZĪJUMI JELGAVAS PILSĒTAS PAŠVALDĪBAS 20</w:t>
      </w:r>
      <w:r w:rsidR="00A9445F">
        <w:rPr>
          <w:b/>
          <w:bCs/>
        </w:rPr>
        <w:t>12</w:t>
      </w:r>
      <w:r w:rsidR="00B560A1" w:rsidRPr="00B560A1">
        <w:rPr>
          <w:b/>
          <w:bCs/>
        </w:rPr>
        <w:t>.GADA 2</w:t>
      </w:r>
      <w:r w:rsidR="00A9445F">
        <w:rPr>
          <w:b/>
          <w:bCs/>
        </w:rPr>
        <w:t>6</w:t>
      </w:r>
      <w:r w:rsidR="00B560A1" w:rsidRPr="00B560A1">
        <w:rPr>
          <w:b/>
          <w:bCs/>
        </w:rPr>
        <w:t>.</w:t>
      </w:r>
      <w:bookmarkStart w:id="0" w:name="_GoBack"/>
      <w:bookmarkEnd w:id="0"/>
      <w:r w:rsidR="00A9445F">
        <w:rPr>
          <w:b/>
          <w:bCs/>
        </w:rPr>
        <w:t>APRĪĻA</w:t>
      </w:r>
      <w:r w:rsidR="00B560A1" w:rsidRPr="00B560A1">
        <w:rPr>
          <w:b/>
          <w:bCs/>
        </w:rPr>
        <w:t xml:space="preserve"> SAISTOŠAJOS NOTEIKUMOS NR.1</w:t>
      </w:r>
      <w:r w:rsidR="00A9445F">
        <w:rPr>
          <w:b/>
          <w:bCs/>
        </w:rPr>
        <w:t>2</w:t>
      </w:r>
      <w:r w:rsidR="00B560A1" w:rsidRPr="00B560A1">
        <w:rPr>
          <w:b/>
          <w:bCs/>
        </w:rPr>
        <w:t>-1</w:t>
      </w:r>
      <w:r w:rsidR="00A9445F">
        <w:rPr>
          <w:b/>
          <w:bCs/>
        </w:rPr>
        <w:t>2</w:t>
      </w:r>
      <w:r w:rsidR="00B560A1" w:rsidRPr="00B560A1">
        <w:rPr>
          <w:b/>
          <w:bCs/>
        </w:rPr>
        <w:t xml:space="preserve"> „</w:t>
      </w:r>
      <w:r w:rsidR="00B560A1" w:rsidRPr="00B560A1">
        <w:rPr>
          <w:b/>
        </w:rPr>
        <w:t>JELGAVAS PILSĒTAS S</w:t>
      </w:r>
      <w:r w:rsidR="00B560A1" w:rsidRPr="00B560A1">
        <w:rPr>
          <w:b/>
          <w:bCs/>
        </w:rPr>
        <w:t>I</w:t>
      </w:r>
      <w:r w:rsidR="00A9445F">
        <w:rPr>
          <w:b/>
          <w:bCs/>
        </w:rPr>
        <w:t>MBOLIKA</w:t>
      </w:r>
      <w:r w:rsidR="002F639B" w:rsidRPr="00046DD6">
        <w:rPr>
          <w:b/>
        </w:rPr>
        <w:t>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A50F19" w:rsidRDefault="00A50F19" w:rsidP="006A4F89">
      <w:pPr>
        <w:jc w:val="center"/>
        <w:rPr>
          <w:b/>
        </w:rPr>
      </w:pPr>
    </w:p>
    <w:p w:rsidR="00A50F19" w:rsidRDefault="00A50F19" w:rsidP="006A4F89">
      <w:pPr>
        <w:jc w:val="center"/>
        <w:rPr>
          <w:b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379"/>
      </w:tblGrid>
      <w:tr w:rsidR="00D9238B" w:rsidTr="006A4F89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379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379" w:type="dxa"/>
          </w:tcPr>
          <w:p w:rsidR="00B90322" w:rsidRDefault="00364155" w:rsidP="007975F2">
            <w:pPr>
              <w:jc w:val="both"/>
            </w:pPr>
            <w:r>
              <w:t xml:space="preserve"> Saistošie noteikumi </w:t>
            </w:r>
            <w:r w:rsidR="002F639B" w:rsidRPr="007975F2">
              <w:t>„</w:t>
            </w:r>
            <w:r w:rsidR="00B560A1" w:rsidRPr="00B560A1">
              <w:rPr>
                <w:bCs/>
              </w:rPr>
              <w:t>Grozījumi Jelgavas pilsētas pašvaldības 201</w:t>
            </w:r>
            <w:r w:rsidR="00A9445F">
              <w:rPr>
                <w:bCs/>
              </w:rPr>
              <w:t>2</w:t>
            </w:r>
            <w:r w:rsidR="00B560A1" w:rsidRPr="00B560A1">
              <w:rPr>
                <w:bCs/>
              </w:rPr>
              <w:t>.gada 2</w:t>
            </w:r>
            <w:r w:rsidR="00A9445F">
              <w:rPr>
                <w:bCs/>
              </w:rPr>
              <w:t>6</w:t>
            </w:r>
            <w:r w:rsidR="00B560A1" w:rsidRPr="00B560A1">
              <w:rPr>
                <w:bCs/>
              </w:rPr>
              <w:t>.</w:t>
            </w:r>
            <w:r w:rsidR="00A9445F">
              <w:rPr>
                <w:bCs/>
              </w:rPr>
              <w:t>aprīļa</w:t>
            </w:r>
            <w:r w:rsidR="00B560A1" w:rsidRPr="00B560A1">
              <w:rPr>
                <w:bCs/>
              </w:rPr>
              <w:t xml:space="preserve"> saistošajos noteikumos Nr.1</w:t>
            </w:r>
            <w:r w:rsidR="00A9445F">
              <w:rPr>
                <w:bCs/>
              </w:rPr>
              <w:t>2</w:t>
            </w:r>
            <w:r w:rsidR="00B560A1" w:rsidRPr="00B560A1">
              <w:rPr>
                <w:bCs/>
              </w:rPr>
              <w:t>-1</w:t>
            </w:r>
            <w:r w:rsidR="00A9445F">
              <w:rPr>
                <w:bCs/>
              </w:rPr>
              <w:t>2</w:t>
            </w:r>
            <w:r w:rsidR="00B560A1" w:rsidRPr="00B560A1">
              <w:rPr>
                <w:bCs/>
              </w:rPr>
              <w:t xml:space="preserve"> „Jelgavas pilsētas si</w:t>
            </w:r>
            <w:r w:rsidR="00A9445F">
              <w:rPr>
                <w:bCs/>
              </w:rPr>
              <w:t>mbolika</w:t>
            </w:r>
            <w:r w:rsidR="00B560A1" w:rsidRPr="00B560A1">
              <w:rPr>
                <w:bCs/>
              </w:rPr>
              <w:t>””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</w:t>
            </w:r>
            <w:r w:rsidR="00A9445F">
              <w:t xml:space="preserve">14.panta trešo daļu, </w:t>
            </w:r>
            <w:r w:rsidR="00D9238B" w:rsidRPr="00FA4601">
              <w:t xml:space="preserve">43.panta </w:t>
            </w:r>
            <w:r w:rsidR="00A9445F">
              <w:t xml:space="preserve">trešo </w:t>
            </w:r>
            <w:r w:rsidR="00C979D1">
              <w:t>daļ</w:t>
            </w:r>
            <w:r w:rsidR="00A43E4B">
              <w:t>u</w:t>
            </w:r>
            <w:r w:rsidR="00B560A1">
              <w:t>,</w:t>
            </w:r>
            <w:r w:rsidR="00A43E4B">
              <w:t xml:space="preserve"> </w:t>
            </w:r>
            <w:r w:rsidR="00A43E4B" w:rsidRPr="00A43E4B">
              <w:t>Latvijas Administratīvo pārkāpumu kodeksa 26.panta trešo daļu (redakcijā uz 01.01.2014.)</w:t>
            </w:r>
            <w:r w:rsidR="00EA6323">
              <w:t>,</w:t>
            </w:r>
            <w:r w:rsidR="00B560A1">
              <w:t xml:space="preserve"> </w:t>
            </w:r>
            <w:proofErr w:type="spellStart"/>
            <w:r w:rsidR="00B560A1" w:rsidRPr="00B560A1">
              <w:rPr>
                <w:i/>
              </w:rPr>
              <w:t>Euro</w:t>
            </w:r>
            <w:proofErr w:type="spellEnd"/>
            <w:r w:rsidR="00B560A1" w:rsidRPr="00B560A1">
              <w:t xml:space="preserve"> ieviešanas kārtības likuma 31.pantu</w:t>
            </w:r>
            <w:r w:rsidR="00EA6323">
              <w:t xml:space="preserve"> un LR Vides aizsardzības un reģionālās attīstības ministrijas 27.10.2013. vēstuli Nr.17.18-1e/10285</w:t>
            </w:r>
            <w:r w:rsidR="0033708F">
              <w:rPr>
                <w:iCs/>
              </w:rPr>
              <w:t>.</w:t>
            </w:r>
          </w:p>
          <w:p w:rsidR="00D9238B" w:rsidRDefault="003F23DA" w:rsidP="00A43E4B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922851">
              <w:rPr>
                <w:iCs/>
              </w:rPr>
              <w:t>Saistošie n</w:t>
            </w:r>
            <w:r w:rsidR="00364155">
              <w:rPr>
                <w:iCs/>
              </w:rPr>
              <w:t>oteikumi nepieciešami, lai</w:t>
            </w:r>
            <w:r w:rsidR="00B560A1">
              <w:rPr>
                <w:iCs/>
              </w:rPr>
              <w:t xml:space="preserve"> veiktu latu konvertāciju uz </w:t>
            </w:r>
            <w:proofErr w:type="spellStart"/>
            <w:r w:rsidR="00B560A1" w:rsidRPr="00B560A1">
              <w:rPr>
                <w:i/>
                <w:iCs/>
              </w:rPr>
              <w:t>euro</w:t>
            </w:r>
            <w:proofErr w:type="spellEnd"/>
            <w:r w:rsidR="00B560A1">
              <w:rPr>
                <w:iCs/>
              </w:rPr>
              <w:t xml:space="preserve"> saskaņā ar Padomes noteikto maiņas kursu un </w:t>
            </w:r>
            <w:r w:rsidR="00B560A1" w:rsidRPr="00B560A1">
              <w:rPr>
                <w:iCs/>
              </w:rPr>
              <w:t>Latvijas Administratīvo pārkāpumu kodeksa 26.panta treš</w:t>
            </w:r>
            <w:r w:rsidR="00B560A1">
              <w:rPr>
                <w:iCs/>
              </w:rPr>
              <w:t>o</w:t>
            </w:r>
            <w:r w:rsidR="00B560A1" w:rsidRPr="00B560A1">
              <w:rPr>
                <w:iCs/>
              </w:rPr>
              <w:t xml:space="preserve"> daļ</w:t>
            </w:r>
            <w:r w:rsidR="00B560A1">
              <w:rPr>
                <w:iCs/>
              </w:rPr>
              <w:t>u.</w:t>
            </w:r>
          </w:p>
          <w:p w:rsidR="00A43E4B" w:rsidRPr="00FA4601" w:rsidRDefault="00A43E4B" w:rsidP="00A9445F">
            <w:pPr>
              <w:jc w:val="both"/>
            </w:pPr>
            <w:r>
              <w:rPr>
                <w:iCs/>
              </w:rPr>
              <w:t xml:space="preserve">Ņemot vērā to, ka </w:t>
            </w:r>
            <w:r w:rsidRPr="00A43E4B">
              <w:rPr>
                <w:iCs/>
              </w:rPr>
              <w:t>Jelgavas pilsētas pašvaldības 2013.gada 26.septembra saistoš</w:t>
            </w:r>
            <w:r>
              <w:rPr>
                <w:iCs/>
              </w:rPr>
              <w:t>ie</w:t>
            </w:r>
            <w:r w:rsidRPr="00A43E4B">
              <w:rPr>
                <w:iCs/>
              </w:rPr>
              <w:t xml:space="preserve"> noteikum</w:t>
            </w:r>
            <w:r>
              <w:rPr>
                <w:iCs/>
              </w:rPr>
              <w:t>i</w:t>
            </w:r>
            <w:r w:rsidRPr="00A43E4B">
              <w:rPr>
                <w:iCs/>
              </w:rPr>
              <w:t xml:space="preserve"> Nr.13-2</w:t>
            </w:r>
            <w:r w:rsidR="00A9445F">
              <w:rPr>
                <w:iCs/>
              </w:rPr>
              <w:t>8</w:t>
            </w:r>
            <w:r w:rsidRPr="00A43E4B">
              <w:rPr>
                <w:iCs/>
              </w:rPr>
              <w:t xml:space="preserve"> „Grozījumi Jelgavas pilsētas pašvaldības 201</w:t>
            </w:r>
            <w:r w:rsidR="00A9445F">
              <w:rPr>
                <w:iCs/>
              </w:rPr>
              <w:t>2</w:t>
            </w:r>
            <w:r w:rsidRPr="00A43E4B">
              <w:rPr>
                <w:iCs/>
              </w:rPr>
              <w:t>.gada 2</w:t>
            </w:r>
            <w:r w:rsidR="00A9445F">
              <w:rPr>
                <w:iCs/>
              </w:rPr>
              <w:t>6</w:t>
            </w:r>
            <w:r w:rsidRPr="00A43E4B">
              <w:rPr>
                <w:iCs/>
              </w:rPr>
              <w:t>.</w:t>
            </w:r>
            <w:r w:rsidR="00A9445F">
              <w:rPr>
                <w:iCs/>
              </w:rPr>
              <w:t>aprīļa</w:t>
            </w:r>
            <w:r w:rsidRPr="00A43E4B">
              <w:rPr>
                <w:iCs/>
              </w:rPr>
              <w:t xml:space="preserve"> saistošajos noteikumos Nr.1</w:t>
            </w:r>
            <w:r w:rsidR="00A9445F">
              <w:rPr>
                <w:iCs/>
              </w:rPr>
              <w:t>2</w:t>
            </w:r>
            <w:r w:rsidRPr="00A43E4B">
              <w:rPr>
                <w:iCs/>
              </w:rPr>
              <w:t>-1</w:t>
            </w:r>
            <w:r w:rsidR="00A9445F">
              <w:rPr>
                <w:iCs/>
              </w:rPr>
              <w:t>2</w:t>
            </w:r>
            <w:r w:rsidRPr="00A43E4B">
              <w:rPr>
                <w:iCs/>
              </w:rPr>
              <w:t xml:space="preserve"> „Jelgavas pilsētas si</w:t>
            </w:r>
            <w:r w:rsidR="00A9445F">
              <w:rPr>
                <w:iCs/>
              </w:rPr>
              <w:t>mbolika</w:t>
            </w:r>
            <w:r w:rsidRPr="00A43E4B">
              <w:rPr>
                <w:iCs/>
              </w:rPr>
              <w:t>””</w:t>
            </w:r>
            <w:r>
              <w:rPr>
                <w:iCs/>
              </w:rPr>
              <w:t xml:space="preserve">, kuros veikta latu konvertācija uz </w:t>
            </w:r>
            <w:proofErr w:type="spellStart"/>
            <w:r w:rsidRPr="00A43E4B">
              <w:rPr>
                <w:i/>
                <w:iCs/>
              </w:rPr>
              <w:t>euro</w:t>
            </w:r>
            <w:proofErr w:type="spellEnd"/>
            <w:r w:rsidR="00F05A39">
              <w:rPr>
                <w:i/>
                <w:iCs/>
              </w:rPr>
              <w:t xml:space="preserve"> </w:t>
            </w:r>
            <w:r w:rsidR="00F05A39" w:rsidRPr="00F05A39">
              <w:rPr>
                <w:iCs/>
              </w:rPr>
              <w:t xml:space="preserve">saskaņā ar </w:t>
            </w:r>
            <w:r w:rsidR="00F05A39">
              <w:rPr>
                <w:iCs/>
              </w:rPr>
              <w:t>Padomes noteikto maiņas</w:t>
            </w:r>
            <w:r w:rsidR="00F05A39" w:rsidRPr="00F05A39">
              <w:rPr>
                <w:iCs/>
              </w:rPr>
              <w:t xml:space="preserve"> kursu</w:t>
            </w:r>
            <w:r>
              <w:rPr>
                <w:iCs/>
              </w:rPr>
              <w:t>, ir apstiprināti pirms Latvijas Administratīvo pārkāpumu kodeksa 26.panta trešās daļas grozījumu publicēšanas,</w:t>
            </w:r>
            <w:r w:rsidR="00C17CC4">
              <w:rPr>
                <w:iCs/>
              </w:rPr>
              <w:t xml:space="preserve"> kuros maksimālie administratīvie sodi </w:t>
            </w:r>
            <w:proofErr w:type="spellStart"/>
            <w:r w:rsidR="00C17CC4" w:rsidRPr="00C17CC4">
              <w:rPr>
                <w:i/>
                <w:iCs/>
              </w:rPr>
              <w:t>euro</w:t>
            </w:r>
            <w:proofErr w:type="spellEnd"/>
            <w:r w:rsidR="00C17CC4">
              <w:rPr>
                <w:iCs/>
              </w:rPr>
              <w:t xml:space="preserve"> ir noteikti mazāki, Jelgavas pilsētas pašvaldībai ir jāpielāgo </w:t>
            </w:r>
            <w:r w:rsidR="00C17CC4" w:rsidRPr="00C17CC4">
              <w:rPr>
                <w:iCs/>
              </w:rPr>
              <w:t>Jelgavas pilsētas pašvaldības 201</w:t>
            </w:r>
            <w:r w:rsidR="00A9445F">
              <w:rPr>
                <w:iCs/>
              </w:rPr>
              <w:t>2</w:t>
            </w:r>
            <w:r w:rsidR="00C17CC4" w:rsidRPr="00C17CC4">
              <w:rPr>
                <w:iCs/>
              </w:rPr>
              <w:t>.gada 2</w:t>
            </w:r>
            <w:r w:rsidR="00A9445F">
              <w:rPr>
                <w:iCs/>
              </w:rPr>
              <w:t>6</w:t>
            </w:r>
            <w:r w:rsidR="00C17CC4" w:rsidRPr="00C17CC4">
              <w:rPr>
                <w:iCs/>
              </w:rPr>
              <w:t>.</w:t>
            </w:r>
            <w:r w:rsidR="00A9445F">
              <w:rPr>
                <w:iCs/>
              </w:rPr>
              <w:t>aprīļa</w:t>
            </w:r>
            <w:r w:rsidR="00C17CC4" w:rsidRPr="00C17CC4">
              <w:rPr>
                <w:iCs/>
              </w:rPr>
              <w:t xml:space="preserve"> saistošajos noteikumos Nr.1</w:t>
            </w:r>
            <w:r w:rsidR="00A9445F">
              <w:rPr>
                <w:iCs/>
              </w:rPr>
              <w:t>2</w:t>
            </w:r>
            <w:r w:rsidR="00C17CC4" w:rsidRPr="00C17CC4">
              <w:rPr>
                <w:iCs/>
              </w:rPr>
              <w:t>-1</w:t>
            </w:r>
            <w:r w:rsidR="00A9445F">
              <w:rPr>
                <w:iCs/>
              </w:rPr>
              <w:t>2</w:t>
            </w:r>
            <w:r w:rsidR="00C17CC4" w:rsidRPr="00C17CC4">
              <w:rPr>
                <w:iCs/>
              </w:rPr>
              <w:t xml:space="preserve"> „Jelgavas pilsētas si</w:t>
            </w:r>
            <w:r w:rsidR="00A9445F">
              <w:rPr>
                <w:iCs/>
              </w:rPr>
              <w:t>mbolika</w:t>
            </w:r>
            <w:r w:rsidR="00C17CC4" w:rsidRPr="00C17CC4">
              <w:rPr>
                <w:iCs/>
              </w:rPr>
              <w:t>”</w:t>
            </w:r>
            <w:r w:rsidR="00C17CC4">
              <w:rPr>
                <w:iCs/>
              </w:rPr>
              <w:t xml:space="preserve"> noteiktie maksimālie administratīvie sodi </w:t>
            </w:r>
            <w:r w:rsidR="00C17CC4" w:rsidRPr="00C17CC4">
              <w:rPr>
                <w:iCs/>
              </w:rPr>
              <w:t>Latvijas Administratīvo pārkāpumu kodeksa 26.panta treš</w:t>
            </w:r>
            <w:r w:rsidR="00C17CC4">
              <w:rPr>
                <w:iCs/>
              </w:rPr>
              <w:t>ajā</w:t>
            </w:r>
            <w:r w:rsidR="00C17CC4" w:rsidRPr="00C17CC4">
              <w:rPr>
                <w:iCs/>
              </w:rPr>
              <w:t xml:space="preserve"> daļ</w:t>
            </w:r>
            <w:r w:rsidR="00C17CC4">
              <w:rPr>
                <w:iCs/>
              </w:rPr>
              <w:t xml:space="preserve">ā noteiktajiem, apstiprinot jaunus grozījumus. 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379" w:type="dxa"/>
          </w:tcPr>
          <w:p w:rsidR="003B724F" w:rsidRPr="00891BF7" w:rsidRDefault="003F23DA" w:rsidP="00A9445F">
            <w:pPr>
              <w:jc w:val="both"/>
            </w:pPr>
            <w:r w:rsidRPr="00891BF7">
              <w:t xml:space="preserve">Jelgavas pilsētas pašvaldības </w:t>
            </w:r>
            <w:r w:rsidR="00891BF7" w:rsidRPr="00891BF7">
              <w:rPr>
                <w:bCs/>
              </w:rPr>
              <w:t>201</w:t>
            </w:r>
            <w:r w:rsidR="00A9445F">
              <w:rPr>
                <w:bCs/>
              </w:rPr>
              <w:t>2</w:t>
            </w:r>
            <w:r w:rsidR="00891BF7" w:rsidRPr="00891BF7">
              <w:rPr>
                <w:bCs/>
              </w:rPr>
              <w:t>.gada 2</w:t>
            </w:r>
            <w:r w:rsidR="00A9445F">
              <w:rPr>
                <w:bCs/>
              </w:rPr>
              <w:t>6</w:t>
            </w:r>
            <w:r w:rsidR="00891BF7" w:rsidRPr="00891BF7">
              <w:rPr>
                <w:bCs/>
              </w:rPr>
              <w:t>.</w:t>
            </w:r>
            <w:r w:rsidR="00A9445F">
              <w:rPr>
                <w:bCs/>
              </w:rPr>
              <w:t>aprīļa</w:t>
            </w:r>
            <w:r w:rsidR="00891BF7" w:rsidRPr="00891BF7">
              <w:rPr>
                <w:bCs/>
              </w:rPr>
              <w:t xml:space="preserve"> saistošajos noteikumos Nr.1</w:t>
            </w:r>
            <w:r w:rsidR="00A9445F">
              <w:rPr>
                <w:bCs/>
              </w:rPr>
              <w:t>2</w:t>
            </w:r>
            <w:r w:rsidR="00891BF7" w:rsidRPr="00891BF7">
              <w:rPr>
                <w:bCs/>
              </w:rPr>
              <w:t>-1</w:t>
            </w:r>
            <w:r w:rsidR="00A9445F">
              <w:rPr>
                <w:bCs/>
              </w:rPr>
              <w:t>2</w:t>
            </w:r>
            <w:r w:rsidR="00891BF7" w:rsidRPr="00891BF7">
              <w:rPr>
                <w:bCs/>
              </w:rPr>
              <w:t xml:space="preserve"> „Jelgavas pilsētas si</w:t>
            </w:r>
            <w:r w:rsidR="00A9445F">
              <w:rPr>
                <w:bCs/>
              </w:rPr>
              <w:t>mbolika</w:t>
            </w:r>
            <w:r w:rsidRPr="00891BF7">
              <w:t>”</w:t>
            </w:r>
            <w:r w:rsidR="00891BF7">
              <w:t xml:space="preserve"> noteikto administratīvo sodu konvertācija uz </w:t>
            </w:r>
            <w:proofErr w:type="spellStart"/>
            <w:r w:rsidR="00891BF7" w:rsidRPr="00891BF7">
              <w:rPr>
                <w:i/>
              </w:rPr>
              <w:t>euro</w:t>
            </w:r>
            <w:proofErr w:type="spellEnd"/>
            <w:r w:rsidRPr="00891BF7">
              <w:t>.</w:t>
            </w:r>
          </w:p>
        </w:tc>
      </w:tr>
      <w:tr w:rsidR="00D9238B" w:rsidTr="006A4F89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379" w:type="dxa"/>
          </w:tcPr>
          <w:p w:rsidR="00D9238B" w:rsidRPr="00FA4601" w:rsidRDefault="00891BF7" w:rsidP="00A9445F">
            <w:pPr>
              <w:jc w:val="both"/>
            </w:pPr>
            <w:r w:rsidRPr="00891BF7">
              <w:rPr>
                <w:iCs/>
              </w:rPr>
              <w:t>Jelgavas pilsētas pašvaldības 201</w:t>
            </w:r>
            <w:r w:rsidR="00A9445F">
              <w:rPr>
                <w:iCs/>
              </w:rPr>
              <w:t>2</w:t>
            </w:r>
            <w:r w:rsidRPr="00891BF7">
              <w:rPr>
                <w:iCs/>
              </w:rPr>
              <w:t>.gada 2</w:t>
            </w:r>
            <w:r w:rsidR="00A9445F">
              <w:rPr>
                <w:iCs/>
              </w:rPr>
              <w:t>6</w:t>
            </w:r>
            <w:r w:rsidRPr="00891BF7">
              <w:rPr>
                <w:iCs/>
              </w:rPr>
              <w:t>.</w:t>
            </w:r>
            <w:r w:rsidR="00A9445F">
              <w:rPr>
                <w:iCs/>
              </w:rPr>
              <w:t>aprīļa</w:t>
            </w:r>
            <w:r w:rsidRPr="00891BF7">
              <w:rPr>
                <w:iCs/>
              </w:rPr>
              <w:t xml:space="preserve"> saistošajos noteikumos Nr.1</w:t>
            </w:r>
            <w:r w:rsidR="00A9445F">
              <w:rPr>
                <w:iCs/>
              </w:rPr>
              <w:t>2</w:t>
            </w:r>
            <w:r w:rsidRPr="00891BF7">
              <w:rPr>
                <w:iCs/>
              </w:rPr>
              <w:t>-1</w:t>
            </w:r>
            <w:r w:rsidR="00A9445F">
              <w:rPr>
                <w:iCs/>
              </w:rPr>
              <w:t>2</w:t>
            </w:r>
            <w:r w:rsidRPr="00891BF7">
              <w:rPr>
                <w:iCs/>
              </w:rPr>
              <w:t xml:space="preserve"> „Jelgavas pilsētas si</w:t>
            </w:r>
            <w:r w:rsidR="00A9445F">
              <w:rPr>
                <w:iCs/>
              </w:rPr>
              <w:t>mbolika</w:t>
            </w:r>
            <w:r w:rsidRPr="00891BF7">
              <w:rPr>
                <w:iCs/>
              </w:rPr>
              <w:t xml:space="preserve">” noteikto administratīvo sodu konvertācija uz </w:t>
            </w:r>
            <w:proofErr w:type="spellStart"/>
            <w:r w:rsidRPr="00891BF7">
              <w:rPr>
                <w:i/>
                <w:iCs/>
              </w:rPr>
              <w:t>euro</w:t>
            </w:r>
            <w:proofErr w:type="spellEnd"/>
            <w:r w:rsidRPr="00891BF7">
              <w:rPr>
                <w:iCs/>
              </w:rPr>
              <w:t>.</w:t>
            </w:r>
          </w:p>
        </w:tc>
      </w:tr>
      <w:tr w:rsidR="00D9238B" w:rsidRPr="005B7899" w:rsidTr="006A4F89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379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6A4F89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379" w:type="dxa"/>
          </w:tcPr>
          <w:p w:rsidR="00A336A3" w:rsidRPr="00F515D6" w:rsidRDefault="007A1752" w:rsidP="00A9445F">
            <w:pPr>
              <w:jc w:val="both"/>
            </w:pPr>
            <w:r>
              <w:t>Ir samazināti maksimālo administratīvo sodu apmēri</w:t>
            </w:r>
            <w:r w:rsidR="00A9445F">
              <w:t>.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379" w:type="dxa"/>
          </w:tcPr>
          <w:p w:rsidR="00D9238B" w:rsidRDefault="006A4F89" w:rsidP="00891BF7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</w:t>
            </w:r>
            <w:r>
              <w:t>.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379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</w:tc>
      </w:tr>
      <w:tr w:rsidR="00D9238B" w:rsidTr="006A4F89">
        <w:tc>
          <w:tcPr>
            <w:tcW w:w="2518" w:type="dxa"/>
          </w:tcPr>
          <w:p w:rsidR="00D9238B" w:rsidRDefault="00D9238B" w:rsidP="00030076">
            <w:r>
              <w:lastRenderedPageBreak/>
              <w:t>8. Sabiedrības informēšana par normatīvo aktu</w:t>
            </w:r>
          </w:p>
        </w:tc>
        <w:tc>
          <w:tcPr>
            <w:tcW w:w="6379" w:type="dxa"/>
          </w:tcPr>
          <w:p w:rsidR="00D9238B" w:rsidRDefault="00922851" w:rsidP="000B2139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0B2139" w:rsidRDefault="000B2139" w:rsidP="00030076"/>
    <w:p w:rsidR="000B2139" w:rsidRDefault="000B2139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D65088">
      <w:footerReference w:type="default" r:id="rId11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21" w:rsidRDefault="00115D21" w:rsidP="0061694D">
      <w:r>
        <w:separator/>
      </w:r>
    </w:p>
  </w:endnote>
  <w:endnote w:type="continuationSeparator" w:id="0">
    <w:p w:rsidR="00115D21" w:rsidRDefault="00115D21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327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5088" w:rsidRDefault="00D650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A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21" w:rsidRDefault="00115D21" w:rsidP="0061694D">
      <w:r>
        <w:separator/>
      </w:r>
    </w:p>
  </w:footnote>
  <w:footnote w:type="continuationSeparator" w:id="0">
    <w:p w:rsidR="00115D21" w:rsidRDefault="00115D21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101E3D"/>
    <w:rsid w:val="00105014"/>
    <w:rsid w:val="001130EC"/>
    <w:rsid w:val="00115D21"/>
    <w:rsid w:val="00154C0D"/>
    <w:rsid w:val="00155E6E"/>
    <w:rsid w:val="00161E5E"/>
    <w:rsid w:val="00163F18"/>
    <w:rsid w:val="001673E9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43D55"/>
    <w:rsid w:val="00250D24"/>
    <w:rsid w:val="00255186"/>
    <w:rsid w:val="00262EAC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2F639B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4294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41060F"/>
    <w:rsid w:val="00415B60"/>
    <w:rsid w:val="00425673"/>
    <w:rsid w:val="00432CC4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4F33F2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17C5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814FF"/>
    <w:rsid w:val="00692DCC"/>
    <w:rsid w:val="006A4F89"/>
    <w:rsid w:val="006A769E"/>
    <w:rsid w:val="006B6AE5"/>
    <w:rsid w:val="006D0380"/>
    <w:rsid w:val="006D6266"/>
    <w:rsid w:val="006E6DFD"/>
    <w:rsid w:val="006F1665"/>
    <w:rsid w:val="006F16E5"/>
    <w:rsid w:val="0071085D"/>
    <w:rsid w:val="00712D63"/>
    <w:rsid w:val="0072629A"/>
    <w:rsid w:val="007335AF"/>
    <w:rsid w:val="00735B72"/>
    <w:rsid w:val="00745187"/>
    <w:rsid w:val="007476D8"/>
    <w:rsid w:val="0075730A"/>
    <w:rsid w:val="00757425"/>
    <w:rsid w:val="00763D6F"/>
    <w:rsid w:val="00765C14"/>
    <w:rsid w:val="00770F07"/>
    <w:rsid w:val="00776FB3"/>
    <w:rsid w:val="00781B0E"/>
    <w:rsid w:val="00785248"/>
    <w:rsid w:val="0079156F"/>
    <w:rsid w:val="007975F2"/>
    <w:rsid w:val="007978FA"/>
    <w:rsid w:val="007A1752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170C"/>
    <w:rsid w:val="00854473"/>
    <w:rsid w:val="00854961"/>
    <w:rsid w:val="0085790C"/>
    <w:rsid w:val="00866008"/>
    <w:rsid w:val="00877317"/>
    <w:rsid w:val="00891BF7"/>
    <w:rsid w:val="00894152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2712A"/>
    <w:rsid w:val="00931A08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9D1B8F"/>
    <w:rsid w:val="00A04CB3"/>
    <w:rsid w:val="00A10039"/>
    <w:rsid w:val="00A16C30"/>
    <w:rsid w:val="00A23A63"/>
    <w:rsid w:val="00A336A3"/>
    <w:rsid w:val="00A3708A"/>
    <w:rsid w:val="00A40802"/>
    <w:rsid w:val="00A43E4B"/>
    <w:rsid w:val="00A50F19"/>
    <w:rsid w:val="00A51A2B"/>
    <w:rsid w:val="00A5526E"/>
    <w:rsid w:val="00A57B0E"/>
    <w:rsid w:val="00A64C0E"/>
    <w:rsid w:val="00A7411C"/>
    <w:rsid w:val="00A77CF8"/>
    <w:rsid w:val="00A860DF"/>
    <w:rsid w:val="00A9033C"/>
    <w:rsid w:val="00A9445F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60A1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17CC4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6B1B"/>
    <w:rsid w:val="00C979D1"/>
    <w:rsid w:val="00CB0E63"/>
    <w:rsid w:val="00CC292A"/>
    <w:rsid w:val="00CC46B4"/>
    <w:rsid w:val="00CC5677"/>
    <w:rsid w:val="00CC7246"/>
    <w:rsid w:val="00D01814"/>
    <w:rsid w:val="00D04883"/>
    <w:rsid w:val="00D165DC"/>
    <w:rsid w:val="00D166B8"/>
    <w:rsid w:val="00D23FE6"/>
    <w:rsid w:val="00D377CD"/>
    <w:rsid w:val="00D40D9C"/>
    <w:rsid w:val="00D5031A"/>
    <w:rsid w:val="00D61541"/>
    <w:rsid w:val="00D61DD4"/>
    <w:rsid w:val="00D62FCF"/>
    <w:rsid w:val="00D65088"/>
    <w:rsid w:val="00D6727F"/>
    <w:rsid w:val="00D743E5"/>
    <w:rsid w:val="00D83F5C"/>
    <w:rsid w:val="00D85063"/>
    <w:rsid w:val="00D9238B"/>
    <w:rsid w:val="00D97279"/>
    <w:rsid w:val="00DA6F41"/>
    <w:rsid w:val="00DB6990"/>
    <w:rsid w:val="00DC5D3E"/>
    <w:rsid w:val="00DD3A99"/>
    <w:rsid w:val="00DE3D7F"/>
    <w:rsid w:val="00DF60C6"/>
    <w:rsid w:val="00E15794"/>
    <w:rsid w:val="00E3322B"/>
    <w:rsid w:val="00E52EFE"/>
    <w:rsid w:val="00E73307"/>
    <w:rsid w:val="00E86C44"/>
    <w:rsid w:val="00EA6323"/>
    <w:rsid w:val="00EA64FB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5924"/>
    <w:rsid w:val="00F05A39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D7E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9F8B8-A912-46E6-883D-6F1A8A8F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User</cp:lastModifiedBy>
  <cp:revision>4</cp:revision>
  <cp:lastPrinted>2013-11-12T06:30:00Z</cp:lastPrinted>
  <dcterms:created xsi:type="dcterms:W3CDTF">2013-11-12T06:58:00Z</dcterms:created>
  <dcterms:modified xsi:type="dcterms:W3CDTF">2013-11-28T08:37:00Z</dcterms:modified>
</cp:coreProperties>
</file>