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10" w:rsidRPr="002F639B" w:rsidRDefault="00F21D10" w:rsidP="00F21D10">
      <w:pPr>
        <w:jc w:val="center"/>
        <w:rPr>
          <w:b/>
          <w:bCs/>
        </w:rPr>
      </w:pPr>
      <w:r>
        <w:rPr>
          <w:b/>
        </w:rPr>
        <w:t>JE</w:t>
      </w:r>
      <w:r w:rsidR="001A255F">
        <w:rPr>
          <w:b/>
        </w:rPr>
        <w:t>LGAVAS PILSĒTAS PAŠVALDĪBAS 2014.GADA 27.MART</w:t>
      </w:r>
      <w:r>
        <w:rPr>
          <w:b/>
        </w:rPr>
        <w:t>A</w:t>
      </w:r>
      <w:r w:rsidR="009432B6">
        <w:rPr>
          <w:b/>
          <w:bCs/>
        </w:rPr>
        <w:t xml:space="preserve"> SAISTOŠO NOTEIKUMU NR.</w:t>
      </w:r>
      <w:r w:rsidR="00A3690E">
        <w:rPr>
          <w:b/>
          <w:bCs/>
        </w:rPr>
        <w:t>14-9 „</w:t>
      </w:r>
      <w:r w:rsidR="001A255F">
        <w:rPr>
          <w:b/>
          <w:bCs/>
        </w:rPr>
        <w:t xml:space="preserve">GROZĪJUMI </w:t>
      </w:r>
      <w:r w:rsidR="001A255F">
        <w:rPr>
          <w:b/>
        </w:rPr>
        <w:t>JELGAVAS PILSĒTAS PAŠVALDĪBAS 2013.GADA 19.DECEMBRA</w:t>
      </w:r>
      <w:r w:rsidR="001A255F">
        <w:rPr>
          <w:b/>
          <w:bCs/>
        </w:rPr>
        <w:t xml:space="preserve"> SAISTOŠAJOS NOTEIKUMOS NR.13-57</w:t>
      </w:r>
      <w:r>
        <w:rPr>
          <w:b/>
          <w:bCs/>
        </w:rPr>
        <w:t xml:space="preserve"> </w:t>
      </w:r>
      <w:r w:rsidRPr="00F75D82">
        <w:rPr>
          <w:b/>
          <w:bCs/>
        </w:rPr>
        <w:t>„</w:t>
      </w:r>
      <w:r w:rsidRPr="00DC7CCF">
        <w:rPr>
          <w:b/>
          <w:bCs/>
        </w:rPr>
        <w:t>REKLĀMAS UN</w:t>
      </w:r>
      <w:r>
        <w:rPr>
          <w:b/>
          <w:bCs/>
        </w:rPr>
        <w:t xml:space="preserve"> REKLĀMAS OBJEKTU IZVIETOŠANA </w:t>
      </w:r>
      <w:r w:rsidRPr="00DC7CCF">
        <w:rPr>
          <w:b/>
          <w:bCs/>
        </w:rPr>
        <w:t>PUBLISKĀS VIETĀS VAI VIETĀS, KAS VĒRSTAS PRET PUBLISKU VIETU, JELGAVAS PILSĒTĀ</w:t>
      </w:r>
      <w:r w:rsidRPr="00046DD6">
        <w:rPr>
          <w:b/>
        </w:rPr>
        <w:t>”</w:t>
      </w:r>
      <w:r w:rsidR="001A255F">
        <w:rPr>
          <w:b/>
        </w:rPr>
        <w:t>”</w:t>
      </w:r>
    </w:p>
    <w:p w:rsidR="00F21D10" w:rsidRDefault="00F21D10" w:rsidP="00F21D10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F21D10" w:rsidRDefault="00F21D10" w:rsidP="00F21D10">
      <w:pPr>
        <w:jc w:val="center"/>
        <w:rPr>
          <w:b/>
        </w:rPr>
      </w:pPr>
    </w:p>
    <w:p w:rsidR="00F21D10" w:rsidRDefault="00F21D10" w:rsidP="00F21D10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F21D10" w:rsidTr="00A3690E">
        <w:tc>
          <w:tcPr>
            <w:tcW w:w="2518" w:type="dxa"/>
          </w:tcPr>
          <w:p w:rsidR="00F21D10" w:rsidRDefault="00F21D10" w:rsidP="006F3A1D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662" w:type="dxa"/>
          </w:tcPr>
          <w:p w:rsidR="00F21D10" w:rsidRDefault="00F21D10" w:rsidP="006F3A1D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F21D10" w:rsidTr="00A3690E">
        <w:tc>
          <w:tcPr>
            <w:tcW w:w="2518" w:type="dxa"/>
          </w:tcPr>
          <w:p w:rsidR="00F21D10" w:rsidRDefault="00F21D10" w:rsidP="006F3A1D">
            <w:r>
              <w:t>1. Projekta nepieciešamības pamatojums</w:t>
            </w:r>
          </w:p>
        </w:tc>
        <w:tc>
          <w:tcPr>
            <w:tcW w:w="6662" w:type="dxa"/>
          </w:tcPr>
          <w:p w:rsidR="00F21D10" w:rsidRPr="00954F7F" w:rsidRDefault="00F21D10" w:rsidP="006F3A1D">
            <w:pPr>
              <w:ind w:right="26"/>
              <w:jc w:val="both"/>
              <w:rPr>
                <w:bCs/>
              </w:rPr>
            </w:pPr>
            <w:r w:rsidRPr="00954F7F">
              <w:rPr>
                <w:bCs/>
              </w:rPr>
              <w:t>Jel</w:t>
            </w:r>
            <w:r w:rsidR="0033620F" w:rsidRPr="00954F7F">
              <w:rPr>
                <w:bCs/>
              </w:rPr>
              <w:t>gavas pilsētas dome 2013.gada 19.dec</w:t>
            </w:r>
            <w:r w:rsidRPr="00954F7F">
              <w:rPr>
                <w:bCs/>
              </w:rPr>
              <w:t>embrī apstiprināja Jelgava</w:t>
            </w:r>
            <w:r w:rsidR="000D3799" w:rsidRPr="00954F7F">
              <w:rPr>
                <w:bCs/>
              </w:rPr>
              <w:t>s pilsētas pašvaldības saistošos noteikumu</w:t>
            </w:r>
            <w:r w:rsidRPr="00954F7F">
              <w:rPr>
                <w:bCs/>
              </w:rPr>
              <w:t>s Nr.</w:t>
            </w:r>
            <w:r w:rsidR="0033620F" w:rsidRPr="00954F7F">
              <w:rPr>
                <w:bCs/>
              </w:rPr>
              <w:t>13-57</w:t>
            </w:r>
            <w:r w:rsidRPr="00954F7F">
              <w:rPr>
                <w:bCs/>
              </w:rPr>
              <w:t xml:space="preserve"> „Reklāmas un reklāmas objektu izvietošana publiskās vietās vai vietās, kas vērstas pret pub</w:t>
            </w:r>
            <w:r w:rsidR="0033620F" w:rsidRPr="00954F7F">
              <w:rPr>
                <w:bCs/>
              </w:rPr>
              <w:t>lisku vietu, Jelgavas pilsētā” (turpmāk – noteikumi).</w:t>
            </w:r>
          </w:p>
          <w:p w:rsidR="00F21D10" w:rsidRPr="00954F7F" w:rsidRDefault="002C03DC" w:rsidP="00687E58">
            <w:pPr>
              <w:ind w:right="26"/>
              <w:jc w:val="both"/>
            </w:pPr>
            <w:r>
              <w:rPr>
                <w:bCs/>
              </w:rPr>
              <w:t>Noteikumos ir</w:t>
            </w:r>
            <w:r w:rsidR="00530B89" w:rsidRPr="00954F7F">
              <w:rPr>
                <w:bCs/>
              </w:rPr>
              <w:t xml:space="preserve"> nepieciešams </w:t>
            </w:r>
            <w:r w:rsidR="006259E9">
              <w:rPr>
                <w:bCs/>
              </w:rPr>
              <w:t>precīzi noteikt</w:t>
            </w:r>
            <w:r w:rsidR="00487254">
              <w:rPr>
                <w:bCs/>
              </w:rPr>
              <w:t xml:space="preserve"> personu</w:t>
            </w:r>
            <w:r w:rsidR="006259E9">
              <w:rPr>
                <w:bCs/>
              </w:rPr>
              <w:t xml:space="preserve">, kura maksā pašvaldības nodevu par reklāmas un reklāmas objekta izvietošanu un </w:t>
            </w:r>
            <w:r w:rsidR="001A255F">
              <w:rPr>
                <w:bCs/>
              </w:rPr>
              <w:t>noteikt</w:t>
            </w:r>
            <w:r w:rsidR="006259E9">
              <w:rPr>
                <w:bCs/>
              </w:rPr>
              <w:t xml:space="preserve"> </w:t>
            </w:r>
            <w:r w:rsidR="00687E58">
              <w:rPr>
                <w:bCs/>
              </w:rPr>
              <w:t xml:space="preserve">Jelgavas pilsētā </w:t>
            </w:r>
            <w:r w:rsidR="00584922">
              <w:rPr>
                <w:bCs/>
              </w:rPr>
              <w:t>vienotu stilu reklāmas objektiem</w:t>
            </w:r>
            <w:r w:rsidR="006259E9">
              <w:rPr>
                <w:bCs/>
              </w:rPr>
              <w:t>, kuru augstums nepārsniedz 2,5m</w:t>
            </w:r>
            <w:r w:rsidR="00687E58">
              <w:rPr>
                <w:bCs/>
              </w:rPr>
              <w:t>.</w:t>
            </w:r>
            <w:r w:rsidR="006259E9">
              <w:rPr>
                <w:bCs/>
              </w:rPr>
              <w:t xml:space="preserve"> </w:t>
            </w:r>
            <w:r w:rsidR="0036453A">
              <w:rPr>
                <w:bCs/>
              </w:rPr>
              <w:t>Noteikumi ietvers arī prasības reklāmas objektie</w:t>
            </w:r>
            <w:r w:rsidR="002457C0">
              <w:rPr>
                <w:bCs/>
              </w:rPr>
              <w:t>m, kuru augstums pārsniedz 2,5m</w:t>
            </w:r>
            <w:r w:rsidR="00687E58">
              <w:rPr>
                <w:bCs/>
              </w:rPr>
              <w:t xml:space="preserve"> un </w:t>
            </w:r>
            <w:r w:rsidR="008D6A8C">
              <w:rPr>
                <w:bCs/>
              </w:rPr>
              <w:t xml:space="preserve">prasības to </w:t>
            </w:r>
            <w:r w:rsidR="00687E58">
              <w:rPr>
                <w:bCs/>
              </w:rPr>
              <w:t>uzstādīšanai atbilstoši normatīvo aktu prasībām.</w:t>
            </w:r>
          </w:p>
        </w:tc>
      </w:tr>
      <w:tr w:rsidR="00F21D10" w:rsidTr="00A3690E">
        <w:tc>
          <w:tcPr>
            <w:tcW w:w="2518" w:type="dxa"/>
          </w:tcPr>
          <w:p w:rsidR="00F21D10" w:rsidRDefault="00F21D10" w:rsidP="006F3A1D">
            <w:r>
              <w:t>2. Īss projekta satura izklāsts</w:t>
            </w:r>
          </w:p>
        </w:tc>
        <w:tc>
          <w:tcPr>
            <w:tcW w:w="6662" w:type="dxa"/>
          </w:tcPr>
          <w:p w:rsidR="00F21D10" w:rsidRPr="00954F7F" w:rsidRDefault="00800A58" w:rsidP="00C9372A">
            <w:pPr>
              <w:jc w:val="both"/>
            </w:pPr>
            <w:r>
              <w:t>N</w:t>
            </w:r>
            <w:r w:rsidR="00954F7F" w:rsidRPr="00954F7F">
              <w:t>oteikum</w:t>
            </w:r>
            <w:r w:rsidR="0036453A">
              <w:t>i precizē pašvaldības nodevas sa</w:t>
            </w:r>
            <w:r w:rsidR="00954F7F" w:rsidRPr="00954F7F">
              <w:t>maksas subjektu</w:t>
            </w:r>
            <w:r w:rsidR="009432B6">
              <w:t xml:space="preserve">, </w:t>
            </w:r>
            <w:r w:rsidR="00A960C6">
              <w:t xml:space="preserve">nosaka </w:t>
            </w:r>
            <w:r w:rsidR="0036453A">
              <w:t xml:space="preserve">prasības reklāmas objektu vizuālajam izskatam un </w:t>
            </w:r>
            <w:r w:rsidR="00C9372A">
              <w:t>nosaka reklāmas objekta izmērus.</w:t>
            </w:r>
          </w:p>
        </w:tc>
      </w:tr>
      <w:tr w:rsidR="0036453A" w:rsidTr="00A3690E">
        <w:trPr>
          <w:trHeight w:val="577"/>
        </w:trPr>
        <w:tc>
          <w:tcPr>
            <w:tcW w:w="2518" w:type="dxa"/>
          </w:tcPr>
          <w:p w:rsidR="0036453A" w:rsidRDefault="0036453A" w:rsidP="006F3A1D">
            <w:r>
              <w:t>3. Normatīvā akta projekta būtība</w:t>
            </w:r>
          </w:p>
        </w:tc>
        <w:tc>
          <w:tcPr>
            <w:tcW w:w="6662" w:type="dxa"/>
          </w:tcPr>
          <w:p w:rsidR="0036453A" w:rsidRPr="00954F7F" w:rsidRDefault="00C9372A" w:rsidP="003C6827">
            <w:pPr>
              <w:jc w:val="both"/>
            </w:pPr>
            <w:r>
              <w:t>N</w:t>
            </w:r>
            <w:r w:rsidRPr="00954F7F">
              <w:t>oteikum</w:t>
            </w:r>
            <w:r>
              <w:t>i precizē pašvaldības nodevas sa</w:t>
            </w:r>
            <w:r w:rsidRPr="00954F7F">
              <w:t>maksas subjektu</w:t>
            </w:r>
            <w:r>
              <w:t>, nosaka prasības reklāmas objektu vizuālajam izskatam un nosaka reklāmas objekta izmērus.</w:t>
            </w:r>
          </w:p>
        </w:tc>
      </w:tr>
      <w:tr w:rsidR="0036453A" w:rsidRPr="005B7899" w:rsidTr="00A3690E">
        <w:tc>
          <w:tcPr>
            <w:tcW w:w="2518" w:type="dxa"/>
          </w:tcPr>
          <w:p w:rsidR="0036453A" w:rsidRPr="005B7899" w:rsidRDefault="0036453A" w:rsidP="006F3A1D">
            <w:r w:rsidRPr="005B7899">
              <w:t>4. Informācija par plānoto projekta ietekmi uz budžetu</w:t>
            </w:r>
          </w:p>
        </w:tc>
        <w:tc>
          <w:tcPr>
            <w:tcW w:w="6662" w:type="dxa"/>
          </w:tcPr>
          <w:p w:rsidR="0036453A" w:rsidRPr="00FA4601" w:rsidRDefault="0036453A" w:rsidP="006F3A1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ietekmes.</w:t>
            </w:r>
          </w:p>
          <w:p w:rsidR="0036453A" w:rsidRPr="00FA4601" w:rsidRDefault="0036453A" w:rsidP="006F3A1D">
            <w:pPr>
              <w:jc w:val="both"/>
            </w:pPr>
          </w:p>
        </w:tc>
      </w:tr>
      <w:tr w:rsidR="0036453A" w:rsidTr="00A3690E">
        <w:trPr>
          <w:trHeight w:val="528"/>
        </w:trPr>
        <w:tc>
          <w:tcPr>
            <w:tcW w:w="2518" w:type="dxa"/>
          </w:tcPr>
          <w:p w:rsidR="0036453A" w:rsidRDefault="0036453A" w:rsidP="006F3A1D">
            <w:r>
              <w:t>5. Normatīvā akta ietekme uz sabiedrību</w:t>
            </w:r>
          </w:p>
        </w:tc>
        <w:tc>
          <w:tcPr>
            <w:tcW w:w="6662" w:type="dxa"/>
          </w:tcPr>
          <w:p w:rsidR="0036453A" w:rsidRDefault="0036453A" w:rsidP="006F3A1D">
            <w:pPr>
              <w:jc w:val="both"/>
            </w:pPr>
            <w:r>
              <w:t xml:space="preserve">Saistošie noteikumi attiecas uz personām, kuras izvieto reklāmas un reklāmas objektus </w:t>
            </w:r>
            <w:r w:rsidRPr="00C7692E">
              <w:t>publiskās vietās vai vietās, kas vērstas pret publisku vietu</w:t>
            </w:r>
            <w:r>
              <w:t xml:space="preserve"> Jelgavas pilsētā.</w:t>
            </w:r>
          </w:p>
          <w:p w:rsidR="0036453A" w:rsidRPr="00F515D6" w:rsidRDefault="0036453A" w:rsidP="006F3A1D">
            <w:pPr>
              <w:jc w:val="both"/>
            </w:pPr>
          </w:p>
        </w:tc>
      </w:tr>
      <w:tr w:rsidR="0036453A" w:rsidTr="00A3690E">
        <w:tc>
          <w:tcPr>
            <w:tcW w:w="2518" w:type="dxa"/>
          </w:tcPr>
          <w:p w:rsidR="0036453A" w:rsidRDefault="0036453A" w:rsidP="006F3A1D">
            <w:r>
              <w:t>6. Informācija par administratīvajām procedūrām</w:t>
            </w:r>
          </w:p>
        </w:tc>
        <w:tc>
          <w:tcPr>
            <w:tcW w:w="6662" w:type="dxa"/>
          </w:tcPr>
          <w:p w:rsidR="0036453A" w:rsidRDefault="0036453A" w:rsidP="006F3A1D">
            <w:pPr>
              <w:jc w:val="both"/>
            </w:pPr>
            <w:r>
              <w:t>Saistošo noteikumu izpildi nodrošinās Jelgavas pilsētas pašvaldība.</w:t>
            </w:r>
          </w:p>
        </w:tc>
      </w:tr>
      <w:tr w:rsidR="0036453A" w:rsidTr="00A3690E">
        <w:tc>
          <w:tcPr>
            <w:tcW w:w="2518" w:type="dxa"/>
          </w:tcPr>
          <w:p w:rsidR="0036453A" w:rsidRDefault="0036453A" w:rsidP="006F3A1D">
            <w:r>
              <w:t>7. Informācija par konsultācijām ar sabiedrības pārstāvjiem</w:t>
            </w:r>
          </w:p>
        </w:tc>
        <w:tc>
          <w:tcPr>
            <w:tcW w:w="6662" w:type="dxa"/>
          </w:tcPr>
          <w:p w:rsidR="0036453A" w:rsidRDefault="0036453A" w:rsidP="006F3A1D">
            <w:pPr>
              <w:jc w:val="both"/>
            </w:pPr>
            <w:r>
              <w:t xml:space="preserve">Konsultācijas ar sabiedrības pārstāvjiem netika veiktas. </w:t>
            </w:r>
          </w:p>
          <w:p w:rsidR="0036453A" w:rsidRDefault="0036453A" w:rsidP="006F3A1D">
            <w:pPr>
              <w:jc w:val="both"/>
            </w:pPr>
          </w:p>
          <w:p w:rsidR="0036453A" w:rsidRDefault="0036453A" w:rsidP="006F3A1D">
            <w:pPr>
              <w:jc w:val="both"/>
            </w:pPr>
          </w:p>
          <w:p w:rsidR="0036453A" w:rsidRDefault="0036453A" w:rsidP="006F3A1D">
            <w:pPr>
              <w:jc w:val="both"/>
            </w:pPr>
          </w:p>
        </w:tc>
      </w:tr>
      <w:tr w:rsidR="0036453A" w:rsidTr="00A3690E">
        <w:tc>
          <w:tcPr>
            <w:tcW w:w="2518" w:type="dxa"/>
          </w:tcPr>
          <w:p w:rsidR="0036453A" w:rsidRDefault="0036453A" w:rsidP="006F3A1D">
            <w:r>
              <w:t>8. Sabiedrības informēšana par normatīvo aktu</w:t>
            </w:r>
          </w:p>
        </w:tc>
        <w:tc>
          <w:tcPr>
            <w:tcW w:w="6662" w:type="dxa"/>
          </w:tcPr>
          <w:p w:rsidR="0036453A" w:rsidRDefault="0036453A" w:rsidP="006F3A1D">
            <w:pPr>
              <w:jc w:val="both"/>
            </w:pPr>
            <w:r>
              <w:t xml:space="preserve">Saistošie noteikumi tiks publicēti oficiālajā izdevumā „Latvijas Vēstnesis”, Vides aizsardzības un reģionālās attīstības ministrijas mājas lapā, portālā </w:t>
            </w:r>
            <w:hyperlink r:id="rId8" w:history="1">
              <w:r w:rsidRPr="007978FA">
                <w:rPr>
                  <w:rStyle w:val="Hyperlink"/>
                </w:rPr>
                <w:t>www.likumi.lv</w:t>
              </w:r>
            </w:hyperlink>
            <w:r>
              <w:t xml:space="preserve">, </w:t>
            </w:r>
            <w:r w:rsidRPr="000B2139">
              <w:t xml:space="preserve">vietējā laikrakstā „Jelgavas Vēstnesis” un </w:t>
            </w:r>
            <w:r>
              <w:t xml:space="preserve">Jelgavas pilsētas mājas lapā </w:t>
            </w:r>
            <w:hyperlink r:id="rId9" w:history="1">
              <w:r>
                <w:rPr>
                  <w:rStyle w:val="Hyperlink"/>
                </w:rPr>
                <w:t>www.jelgava.lv</w:t>
              </w:r>
            </w:hyperlink>
            <w:r>
              <w:t>.</w:t>
            </w:r>
          </w:p>
        </w:tc>
      </w:tr>
    </w:tbl>
    <w:p w:rsidR="00F21D10" w:rsidRDefault="00F21D10" w:rsidP="00F21D10"/>
    <w:p w:rsidR="00F21D10" w:rsidRDefault="00F21D10" w:rsidP="00F21D10"/>
    <w:p w:rsidR="00F21D10" w:rsidRDefault="00F21D10" w:rsidP="00F21D10"/>
    <w:p w:rsidR="00A3690E" w:rsidRDefault="00A3690E" w:rsidP="00A3690E">
      <w:pPr>
        <w:shd w:val="clear" w:color="auto" w:fill="FFFFFF"/>
        <w:rPr>
          <w:color w:val="000000"/>
        </w:rPr>
      </w:pPr>
      <w:r w:rsidRPr="00B01B83">
        <w:t>Jelga</w:t>
      </w:r>
      <w:r>
        <w:t xml:space="preserve">vas pilsētas domes priekšsēdētāja </w:t>
      </w:r>
      <w:r>
        <w:rPr>
          <w:color w:val="000000"/>
        </w:rPr>
        <w:t>vietniece</w:t>
      </w:r>
      <w:proofErr w:type="gramStart"/>
      <w:r>
        <w:rPr>
          <w:color w:val="000000"/>
        </w:rPr>
        <w:t xml:space="preserve">           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R.Vectirāne</w:t>
      </w:r>
    </w:p>
    <w:p w:rsidR="00A3690E" w:rsidRDefault="00A3690E">
      <w:bookmarkStart w:id="0" w:name="_GoBack"/>
      <w:bookmarkEnd w:id="0"/>
    </w:p>
    <w:sectPr w:rsidR="00A3690E" w:rsidSect="00A3690E">
      <w:footerReference w:type="default" r:id="rId10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2C" w:rsidRDefault="00367A2C">
      <w:r>
        <w:separator/>
      </w:r>
    </w:p>
  </w:endnote>
  <w:endnote w:type="continuationSeparator" w:id="0">
    <w:p w:rsidR="00367A2C" w:rsidRDefault="0036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4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E47" w:rsidRDefault="00F21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2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367A2C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2C" w:rsidRDefault="00367A2C">
      <w:r>
        <w:separator/>
      </w:r>
    </w:p>
  </w:footnote>
  <w:footnote w:type="continuationSeparator" w:id="0">
    <w:p w:rsidR="00367A2C" w:rsidRDefault="0036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10"/>
    <w:rsid w:val="000D3799"/>
    <w:rsid w:val="001A255F"/>
    <w:rsid w:val="00206E16"/>
    <w:rsid w:val="002457C0"/>
    <w:rsid w:val="002C03DC"/>
    <w:rsid w:val="002E0CC7"/>
    <w:rsid w:val="0033620F"/>
    <w:rsid w:val="0036453A"/>
    <w:rsid w:val="00367A2C"/>
    <w:rsid w:val="003B2F36"/>
    <w:rsid w:val="00487254"/>
    <w:rsid w:val="00530B89"/>
    <w:rsid w:val="00584922"/>
    <w:rsid w:val="005C7B3B"/>
    <w:rsid w:val="005D70BF"/>
    <w:rsid w:val="006259E9"/>
    <w:rsid w:val="00627894"/>
    <w:rsid w:val="00687E58"/>
    <w:rsid w:val="006B535E"/>
    <w:rsid w:val="00713980"/>
    <w:rsid w:val="00731FAB"/>
    <w:rsid w:val="00800A58"/>
    <w:rsid w:val="00832C55"/>
    <w:rsid w:val="008D6A8C"/>
    <w:rsid w:val="008E4D87"/>
    <w:rsid w:val="009257A4"/>
    <w:rsid w:val="009432B6"/>
    <w:rsid w:val="00954F7F"/>
    <w:rsid w:val="00A3690E"/>
    <w:rsid w:val="00A63111"/>
    <w:rsid w:val="00A960C6"/>
    <w:rsid w:val="00B3330F"/>
    <w:rsid w:val="00B86983"/>
    <w:rsid w:val="00C34E63"/>
    <w:rsid w:val="00C533C3"/>
    <w:rsid w:val="00C9372A"/>
    <w:rsid w:val="00CC18F9"/>
    <w:rsid w:val="00DC3C2A"/>
    <w:rsid w:val="00F21D10"/>
    <w:rsid w:val="00F95D49"/>
    <w:rsid w:val="00F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D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1D10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1D10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1D10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1D10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1D10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1D10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1D10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1D10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1D1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1D10"/>
    <w:rPr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21D10"/>
    <w:rPr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21D10"/>
    <w:rPr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F21D10"/>
    <w:rPr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21D1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21D10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21D10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21D10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21D10"/>
    <w:rPr>
      <w:rFonts w:ascii="Cambria" w:hAnsi="Cambria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F21D1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21D1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21D10"/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A25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25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D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1D10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1D10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1D10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1D10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1D10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1D10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1D10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1D10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1D1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1D10"/>
    <w:rPr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21D10"/>
    <w:rPr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21D10"/>
    <w:rPr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F21D10"/>
    <w:rPr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21D1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21D10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21D10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21D10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21D10"/>
    <w:rPr>
      <w:rFonts w:ascii="Cambria" w:hAnsi="Cambria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F21D1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21D1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21D10"/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A25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25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elgava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Spīdola Ozoliņa</cp:lastModifiedBy>
  <cp:revision>16</cp:revision>
  <cp:lastPrinted>2014-03-13T05:54:00Z</cp:lastPrinted>
  <dcterms:created xsi:type="dcterms:W3CDTF">2014-03-10T08:22:00Z</dcterms:created>
  <dcterms:modified xsi:type="dcterms:W3CDTF">2014-03-25T08:17:00Z</dcterms:modified>
</cp:coreProperties>
</file>