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0" w:rsidRDefault="00D9238B" w:rsidP="002F0D90">
      <w:pPr>
        <w:jc w:val="center"/>
        <w:rPr>
          <w:b/>
          <w:bCs/>
          <w:szCs w:val="44"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595DF2">
        <w:rPr>
          <w:b/>
        </w:rPr>
        <w:t xml:space="preserve"> PAŠVALDĪBAS 2014.GADA 24.</w:t>
      </w:r>
      <w:r w:rsidR="00364155">
        <w:rPr>
          <w:b/>
        </w:rPr>
        <w:t>A</w:t>
      </w:r>
      <w:r w:rsidR="00595DF2">
        <w:rPr>
          <w:b/>
        </w:rPr>
        <w:t>PRĪĻA</w:t>
      </w:r>
      <w:r w:rsidR="00364155">
        <w:rPr>
          <w:b/>
          <w:bCs/>
        </w:rPr>
        <w:t xml:space="preserve"> SAISTOŠO NOTEIKUMU Nr.</w:t>
      </w:r>
      <w:r w:rsidR="00141331">
        <w:rPr>
          <w:b/>
          <w:bCs/>
        </w:rPr>
        <w:t>14-12</w:t>
      </w:r>
      <w:bookmarkStart w:id="0" w:name="_GoBack"/>
      <w:bookmarkEnd w:id="0"/>
      <w:r w:rsidR="00364155">
        <w:rPr>
          <w:b/>
          <w:bCs/>
        </w:rPr>
        <w:t xml:space="preserve"> </w:t>
      </w:r>
      <w:r w:rsidR="00300BB2">
        <w:rPr>
          <w:b/>
          <w:bCs/>
          <w:szCs w:val="44"/>
        </w:rPr>
        <w:t>„</w:t>
      </w:r>
      <w:r w:rsidR="002F0D90">
        <w:rPr>
          <w:b/>
          <w:bCs/>
          <w:szCs w:val="44"/>
        </w:rPr>
        <w:t>GROZĪJUMI JELGAVAS PILSĒTAS PAŠVALDĪBAS 2012.GADA 29.NOVEMBRA SAISTOŠAJOS NOTEIKUMOS NR.12-27 „</w:t>
      </w:r>
      <w:r w:rsidR="00300BB2">
        <w:rPr>
          <w:b/>
          <w:bCs/>
          <w:szCs w:val="44"/>
        </w:rPr>
        <w:t>TRŪCĪGAS UN MAZNODROŠINĀTAS ĢIMENES (PERSONAS) STATUSA NOTEIKŠANA JELGAVAS PILSĒTAS PAŠVALDĪBĀ”</w:t>
      </w:r>
      <w:r w:rsidR="002F0D90">
        <w:rPr>
          <w:b/>
          <w:bCs/>
          <w:szCs w:val="44"/>
        </w:rPr>
        <w:t>”</w:t>
      </w:r>
    </w:p>
    <w:p w:rsidR="00D9238B" w:rsidRDefault="00D9238B" w:rsidP="002F0D90">
      <w:pPr>
        <w:jc w:val="center"/>
        <w:rPr>
          <w:b/>
        </w:rPr>
      </w:pPr>
      <w:r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RPr="00BB51BD" w:rsidTr="00063EF5">
        <w:tc>
          <w:tcPr>
            <w:tcW w:w="2988" w:type="dxa"/>
          </w:tcPr>
          <w:p w:rsidR="00D9238B" w:rsidRPr="00BB51BD" w:rsidRDefault="00D9238B" w:rsidP="000E7A92">
            <w:pPr>
              <w:jc w:val="center"/>
              <w:rPr>
                <w:b/>
              </w:rPr>
            </w:pPr>
            <w:r w:rsidRPr="00BB51BD"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Pr="00BB51BD" w:rsidRDefault="00D9238B">
            <w:pPr>
              <w:jc w:val="center"/>
              <w:rPr>
                <w:b/>
              </w:rPr>
            </w:pPr>
            <w:r w:rsidRPr="00BB51BD">
              <w:rPr>
                <w:b/>
              </w:rPr>
              <w:t>Norādāmā informācija</w:t>
            </w:r>
          </w:p>
        </w:tc>
      </w:tr>
      <w:tr w:rsidR="00D9238B" w:rsidRPr="00BB51BD" w:rsidTr="00063EF5">
        <w:tc>
          <w:tcPr>
            <w:tcW w:w="2988" w:type="dxa"/>
          </w:tcPr>
          <w:p w:rsidR="00D9238B" w:rsidRPr="00BB51BD" w:rsidRDefault="00D9238B">
            <w:r w:rsidRPr="00BB51BD">
              <w:t>1. Projekta nepieciešamības pamatojums</w:t>
            </w:r>
          </w:p>
        </w:tc>
        <w:tc>
          <w:tcPr>
            <w:tcW w:w="6192" w:type="dxa"/>
          </w:tcPr>
          <w:p w:rsidR="00300BB2" w:rsidRPr="00BB51BD" w:rsidRDefault="00300BB2" w:rsidP="00300BB2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 w:rsidRPr="00BB51BD">
              <w:t xml:space="preserve"> </w:t>
            </w:r>
            <w:r w:rsidRPr="00BB51BD">
              <w:rPr>
                <w:bCs w:val="0"/>
              </w:rPr>
              <w:t>Jelgavas p</w:t>
            </w:r>
            <w:r w:rsidR="00595DF2">
              <w:rPr>
                <w:bCs w:val="0"/>
              </w:rPr>
              <w:t>ilsētas pašvaldības 2014.gada 24.aprīļ</w:t>
            </w:r>
            <w:r w:rsidRPr="00BB51BD">
              <w:rPr>
                <w:bCs w:val="0"/>
              </w:rPr>
              <w:t xml:space="preserve">a saistošie noteikumi </w:t>
            </w:r>
            <w:r w:rsidRPr="00BB51BD">
              <w:rPr>
                <w:bCs w:val="0"/>
                <w:szCs w:val="44"/>
              </w:rPr>
              <w:t>„</w:t>
            </w:r>
            <w:r w:rsidR="002F0D90">
              <w:rPr>
                <w:szCs w:val="44"/>
              </w:rPr>
              <w:t>Grozījumi Jelgavas pilsētas pašvaldības saistošajos noteikumos Nr.12-27 „</w:t>
            </w:r>
            <w:r w:rsidRPr="00BB51BD">
              <w:rPr>
                <w:bCs w:val="0"/>
                <w:szCs w:val="44"/>
              </w:rPr>
              <w:t>Trūcīgas un maznodrošinātas ģimenes (personas) statusa noteikšana Jelgavas pilsētas pašvaldībā”</w:t>
            </w:r>
            <w:r w:rsidR="002F0D90">
              <w:rPr>
                <w:bCs w:val="0"/>
                <w:szCs w:val="44"/>
              </w:rPr>
              <w:t>”</w:t>
            </w:r>
            <w:r w:rsidRPr="00BB51BD">
              <w:rPr>
                <w:bCs w:val="0"/>
                <w:szCs w:val="44"/>
              </w:rPr>
              <w:t xml:space="preserve"> (turpmāk – saistošie noteikumi) i</w:t>
            </w:r>
            <w:r w:rsidRPr="00BB51BD">
              <w:rPr>
                <w:bCs w:val="0"/>
                <w:iCs/>
              </w:rPr>
              <w:t>zdoti saskaņā</w:t>
            </w:r>
            <w:r w:rsidRPr="00BB51BD">
              <w:rPr>
                <w:bCs w:val="0"/>
                <w:iCs/>
                <w:szCs w:val="24"/>
                <w:lang w:eastAsia="lv-LV"/>
              </w:rPr>
              <w:t xml:space="preserve"> </w:t>
            </w:r>
            <w:r w:rsidRPr="00BB51BD">
              <w:rPr>
                <w:bCs w:val="0"/>
                <w:iCs/>
              </w:rPr>
              <w:t xml:space="preserve">ar Sociālo </w:t>
            </w:r>
            <w:r w:rsidRPr="00BB51BD">
              <w:rPr>
                <w:bCs w:val="0"/>
                <w:iCs/>
                <w:szCs w:val="24"/>
                <w:lang w:eastAsia="lv-LV"/>
              </w:rPr>
              <w:t>pakalpojumu un sociālās palīdzības likuma 33.panta otro daļu, likuma ”Par palīdzību dzīvokļa jautājumu risināšanā” 14.panta sesto daļu un</w:t>
            </w:r>
            <w:r w:rsidR="002F0D90" w:rsidRPr="00BB51BD">
              <w:rPr>
                <w:bCs w:val="0"/>
                <w:iCs/>
                <w:szCs w:val="24"/>
                <w:lang w:eastAsia="lv-LV"/>
              </w:rPr>
              <w:t xml:space="preserve"> Ministru</w:t>
            </w:r>
          </w:p>
          <w:p w:rsidR="00300BB2" w:rsidRPr="00BB51BD" w:rsidRDefault="00300BB2" w:rsidP="002F0D9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left="-11"/>
              <w:jc w:val="both"/>
              <w:rPr>
                <w:bCs w:val="0"/>
                <w:iCs/>
                <w:szCs w:val="24"/>
                <w:lang w:eastAsia="lv-LV"/>
              </w:rPr>
            </w:pPr>
            <w:r w:rsidRPr="00BB51BD">
              <w:rPr>
                <w:bCs w:val="0"/>
                <w:iCs/>
                <w:szCs w:val="24"/>
                <w:lang w:eastAsia="lv-LV"/>
              </w:rPr>
              <w:t>kabineta 2010.gada 30.marta noteikumu Nr.299 ”Noteikumi par ģimenes vai atsevišķi</w:t>
            </w:r>
            <w:r w:rsidR="002F0D90" w:rsidRPr="00BB51BD">
              <w:rPr>
                <w:bCs w:val="0"/>
                <w:iCs/>
                <w:szCs w:val="24"/>
                <w:lang w:eastAsia="lv-LV"/>
              </w:rPr>
              <w:t xml:space="preserve"> dzīvojošas</w:t>
            </w:r>
          </w:p>
          <w:p w:rsidR="00300BB2" w:rsidRPr="00BB51BD" w:rsidRDefault="00300BB2" w:rsidP="006429A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left="-11"/>
              <w:jc w:val="both"/>
              <w:rPr>
                <w:bCs w:val="0"/>
                <w:iCs/>
                <w:szCs w:val="24"/>
                <w:lang w:eastAsia="lv-LV"/>
              </w:rPr>
            </w:pPr>
            <w:r w:rsidRPr="00BB51BD">
              <w:rPr>
                <w:bCs w:val="0"/>
                <w:iCs/>
                <w:szCs w:val="24"/>
                <w:lang w:eastAsia="lv-LV"/>
              </w:rPr>
              <w:t>personas atzīšanu par trūcīgu” 19.4.apakšpunktu.</w:t>
            </w:r>
          </w:p>
          <w:p w:rsidR="00300BB2" w:rsidRPr="00BB51BD" w:rsidRDefault="00300BB2" w:rsidP="002F0D9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 w:rsidRPr="00BB51BD">
              <w:t xml:space="preserve">Saistošie noteikumi nepieciešami, lai </w:t>
            </w:r>
            <w:r w:rsidR="002F0D90">
              <w:t xml:space="preserve">precizētu lēmuma par ģimenes (personas) atbilstību </w:t>
            </w:r>
            <w:r w:rsidRPr="00BB51BD">
              <w:t>trūcīgas vai maznodrošinātas ģimenes (personas) statusa</w:t>
            </w:r>
            <w:r w:rsidR="002F0D90">
              <w:t>m</w:t>
            </w:r>
            <w:r w:rsidR="002F0D90">
              <w:rPr>
                <w:bCs w:val="0"/>
                <w:szCs w:val="44"/>
              </w:rPr>
              <w:t xml:space="preserve"> un ieviestu papildus kritērijus</w:t>
            </w:r>
            <w:r w:rsidRPr="00BB51BD">
              <w:rPr>
                <w:bCs w:val="0"/>
                <w:szCs w:val="44"/>
              </w:rPr>
              <w:t xml:space="preserve"> minētā statusa noteikšanai, izvērtējot ģimenes (personas) ienākumus un materiālo stāvokli.</w:t>
            </w:r>
          </w:p>
        </w:tc>
      </w:tr>
      <w:tr w:rsidR="00D9238B" w:rsidRPr="00BB51BD" w:rsidTr="00063EF5">
        <w:tc>
          <w:tcPr>
            <w:tcW w:w="2988" w:type="dxa"/>
          </w:tcPr>
          <w:p w:rsidR="00D9238B" w:rsidRPr="00BB51BD" w:rsidRDefault="00D9238B" w:rsidP="00030076">
            <w:r w:rsidRPr="00BB51BD">
              <w:t>2. Īss projekta satura izklāsts</w:t>
            </w:r>
          </w:p>
        </w:tc>
        <w:tc>
          <w:tcPr>
            <w:tcW w:w="6192" w:type="dxa"/>
          </w:tcPr>
          <w:p w:rsidR="00300BB2" w:rsidRPr="00BB51BD" w:rsidRDefault="00300BB2" w:rsidP="0009277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 w:rsidRPr="00BB51BD">
              <w:rPr>
                <w:bCs w:val="0"/>
                <w:iCs/>
                <w:szCs w:val="24"/>
                <w:lang w:eastAsia="lv-LV"/>
              </w:rPr>
              <w:t>Atbilstoši Ministru kabineta 2010.gada 30.marta</w:t>
            </w:r>
          </w:p>
          <w:p w:rsidR="00B61810" w:rsidRDefault="00300BB2" w:rsidP="0009277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 w:rsidRPr="00BB51BD">
              <w:rPr>
                <w:bCs w:val="0"/>
                <w:iCs/>
                <w:szCs w:val="24"/>
                <w:lang w:eastAsia="lv-LV"/>
              </w:rPr>
              <w:t>noteikumu Nr.299 ”Noteikumi par ģimenes vai atsevišķi dzīvojošas personas atzīšanu par trūcīgu” 19.4.apakšpunktam pašvaldības saistošajos noteikumos var noteikt papildus kritērijus ģimenes (personas) ienākumu un materiālā stāvokļa novērtēšanai.</w:t>
            </w:r>
          </w:p>
          <w:p w:rsidR="003B724F" w:rsidRPr="00BB51BD" w:rsidRDefault="002A49CC" w:rsidP="00C8597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>
              <w:rPr>
                <w:bCs w:val="0"/>
                <w:iCs/>
                <w:szCs w:val="24"/>
                <w:lang w:eastAsia="lv-LV"/>
              </w:rPr>
              <w:t>Papildus tiek</w:t>
            </w:r>
            <w:r w:rsidR="002F0D90">
              <w:rPr>
                <w:bCs w:val="0"/>
                <w:iCs/>
                <w:szCs w:val="24"/>
                <w:lang w:eastAsia="lv-LV"/>
              </w:rPr>
              <w:t xml:space="preserve"> paredzēts neuzskatīt par īpašumu, nosakot </w:t>
            </w:r>
            <w:r w:rsidR="002F0D90" w:rsidRPr="00BB51BD">
              <w:t>trūcīgas vai maznodroši</w:t>
            </w:r>
            <w:r w:rsidR="002F0D90">
              <w:t xml:space="preserve">nātas ģimenes (personas) statusu, </w:t>
            </w:r>
            <w:r w:rsidR="00B61810">
              <w:t xml:space="preserve">vienu </w:t>
            </w:r>
            <w:r w:rsidR="002F0D90">
              <w:t>automobili, kuru izmant</w:t>
            </w:r>
            <w:r w:rsidR="00B61810">
              <w:t>o bērna invalīda vajadzībām,</w:t>
            </w:r>
            <w:r w:rsidR="002F0D90">
              <w:t xml:space="preserve"> </w:t>
            </w:r>
            <w:r w:rsidR="00C85970">
              <w:t xml:space="preserve">vai </w:t>
            </w:r>
            <w:r w:rsidR="002F0D90">
              <w:t xml:space="preserve">vienu </w:t>
            </w:r>
            <w:r w:rsidR="00E423FB">
              <w:t>speciāli pielāgotu</w:t>
            </w:r>
            <w:r w:rsidR="002F0D90" w:rsidRPr="006435A2">
              <w:t xml:space="preserve"> </w:t>
            </w:r>
            <w:r w:rsidR="00C85970">
              <w:t>automobili</w:t>
            </w:r>
            <w:r w:rsidR="00E423FB">
              <w:t xml:space="preserve"> </w:t>
            </w:r>
            <w:r w:rsidR="00C85970">
              <w:t>personai,</w:t>
            </w:r>
            <w:r w:rsidR="002F0D90" w:rsidRPr="006435A2">
              <w:t xml:space="preserve"> </w:t>
            </w:r>
            <w:r w:rsidR="00E423FB" w:rsidRPr="00E423FB">
              <w:t>kurai ir Veselības un darbspēju ekspertīzes ārstu komisijas izsniegts atzinums par medicīnisko indikāciju noteikšanu speciāli piel</w:t>
            </w:r>
            <w:r w:rsidR="00C85970">
              <w:t>āgota vieglā automobiļa iegādei</w:t>
            </w:r>
            <w:r w:rsidR="00E423FB">
              <w:t>.</w:t>
            </w:r>
          </w:p>
        </w:tc>
      </w:tr>
      <w:tr w:rsidR="00D9238B" w:rsidRPr="00BB51BD" w:rsidTr="00063EF5">
        <w:trPr>
          <w:trHeight w:val="577"/>
        </w:trPr>
        <w:tc>
          <w:tcPr>
            <w:tcW w:w="2988" w:type="dxa"/>
          </w:tcPr>
          <w:p w:rsidR="00D9238B" w:rsidRPr="00BB51BD" w:rsidRDefault="00D9238B" w:rsidP="00030076">
            <w:r w:rsidRPr="00BB51BD">
              <w:t>3. Normatīvā akta projekta būtība</w:t>
            </w:r>
          </w:p>
        </w:tc>
        <w:tc>
          <w:tcPr>
            <w:tcW w:w="6192" w:type="dxa"/>
          </w:tcPr>
          <w:p w:rsidR="00D9238B" w:rsidRPr="00BB51BD" w:rsidRDefault="002F0D90" w:rsidP="002F0D90">
            <w:pPr>
              <w:jc w:val="both"/>
            </w:pPr>
            <w:r>
              <w:t>Saistošajos noteikumos precizēta kārtība</w:t>
            </w:r>
            <w:r w:rsidR="00C85970">
              <w:t>, kādā notiek trūcīgas un</w:t>
            </w:r>
            <w:r w:rsidR="00300BB2" w:rsidRPr="00BB51BD">
              <w:t xml:space="preserve"> maznodrošinātas ģimenes (personas) statusa </w:t>
            </w:r>
            <w:r w:rsidR="00300BB2" w:rsidRPr="00BB51BD">
              <w:rPr>
                <w:bCs/>
                <w:szCs w:val="44"/>
              </w:rPr>
              <w:t xml:space="preserve">noteikšana </w:t>
            </w:r>
            <w:r>
              <w:rPr>
                <w:bCs/>
                <w:szCs w:val="44"/>
              </w:rPr>
              <w:t>Jelgavas pilsētas pašvaldībā.</w:t>
            </w:r>
          </w:p>
        </w:tc>
      </w:tr>
      <w:tr w:rsidR="00D9238B" w:rsidRPr="00BB51BD" w:rsidTr="00063EF5">
        <w:tc>
          <w:tcPr>
            <w:tcW w:w="2988" w:type="dxa"/>
          </w:tcPr>
          <w:p w:rsidR="00D9238B" w:rsidRPr="00BB51BD" w:rsidRDefault="00D9238B" w:rsidP="00030076">
            <w:r w:rsidRPr="00BB51BD">
              <w:t>4. Informācija par plānoto projekta ietekmi uz budžetu</w:t>
            </w:r>
          </w:p>
        </w:tc>
        <w:tc>
          <w:tcPr>
            <w:tcW w:w="6192" w:type="dxa"/>
          </w:tcPr>
          <w:p w:rsidR="00D9238B" w:rsidRPr="00BB51BD" w:rsidRDefault="00300BB2" w:rsidP="00063EF5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BB51BD">
              <w:t>Saistošie noteikumi</w:t>
            </w:r>
            <w:r w:rsidR="001172FD" w:rsidRPr="00BB51BD">
              <w:t xml:space="preserve"> nosaka papildus kritērijus, kuri nav uzskatāmi</w:t>
            </w:r>
            <w:r w:rsidRPr="00BB51BD">
              <w:t xml:space="preserve"> par īpašumu un ienākumiem, izvērtējot ģimenes (personas) i</w:t>
            </w:r>
            <w:r w:rsidR="002F0D90">
              <w:t>enākumus un materiālo stāvokli, līdz ar to</w:t>
            </w:r>
            <w:r w:rsidR="002F0D90" w:rsidRPr="00BB51BD">
              <w:t xml:space="preserve"> </w:t>
            </w:r>
            <w:r w:rsidR="002F0D90">
              <w:t>tiks</w:t>
            </w:r>
            <w:r w:rsidR="002F0D90" w:rsidRPr="00BB51BD">
              <w:t xml:space="preserve"> paplašinā</w:t>
            </w:r>
            <w:r w:rsidR="002F0D90">
              <w:t>ts</w:t>
            </w:r>
            <w:r w:rsidR="002F0D90" w:rsidRPr="00BB51BD">
              <w:t xml:space="preserve"> </w:t>
            </w:r>
            <w:r w:rsidR="002F0D90">
              <w:t xml:space="preserve">trūcīgo un </w:t>
            </w:r>
            <w:r w:rsidR="002F0D90" w:rsidRPr="00BB51BD">
              <w:t>maznodrošināto ģimeņu (personu) loku</w:t>
            </w:r>
            <w:r w:rsidR="002F0D90">
              <w:t xml:space="preserve">, kas skar personas ar </w:t>
            </w:r>
            <w:r w:rsidR="00D50D59">
              <w:t>invaliditāti un ve</w:t>
            </w:r>
            <w:r w:rsidR="002F0D90">
              <w:t>cākus, kuri audzina bērnus invalīdus</w:t>
            </w:r>
            <w:r w:rsidR="00E423FB">
              <w:t>,</w:t>
            </w:r>
            <w:r w:rsidR="002F0D90">
              <w:t xml:space="preserve"> un viņu īpašumā ir </w:t>
            </w:r>
            <w:r w:rsidR="00B61810">
              <w:t xml:space="preserve">viens </w:t>
            </w:r>
            <w:r w:rsidR="002F0D90">
              <w:t>automobilis.</w:t>
            </w:r>
          </w:p>
        </w:tc>
      </w:tr>
      <w:tr w:rsidR="00D9238B" w:rsidRPr="00BB51BD" w:rsidTr="00063EF5">
        <w:trPr>
          <w:trHeight w:val="986"/>
        </w:trPr>
        <w:tc>
          <w:tcPr>
            <w:tcW w:w="2988" w:type="dxa"/>
          </w:tcPr>
          <w:p w:rsidR="00D9238B" w:rsidRPr="00BB51BD" w:rsidRDefault="00D9238B" w:rsidP="00030076">
            <w:r w:rsidRPr="00BB51BD">
              <w:lastRenderedPageBreak/>
              <w:t>5. Normatīvā akta ietekme uz sabiedrību</w:t>
            </w:r>
          </w:p>
        </w:tc>
        <w:tc>
          <w:tcPr>
            <w:tcW w:w="6192" w:type="dxa"/>
          </w:tcPr>
          <w:p w:rsidR="00A336A3" w:rsidRPr="00BB51BD" w:rsidRDefault="009A098D" w:rsidP="002F0D90">
            <w:pPr>
              <w:jc w:val="both"/>
            </w:pPr>
            <w:r w:rsidRPr="00BB51BD">
              <w:t>Tiks</w:t>
            </w:r>
            <w:r w:rsidR="00300BB2" w:rsidRPr="00BB51BD">
              <w:t xml:space="preserve"> nodrošināts sociālā taisnīguma princips</w:t>
            </w:r>
            <w:r w:rsidR="002F0D90">
              <w:t xml:space="preserve"> personām ar invaliditāti un vecākiem, kuri audzina bērnu invalīdu. </w:t>
            </w:r>
          </w:p>
        </w:tc>
      </w:tr>
      <w:tr w:rsidR="00D9238B" w:rsidRPr="00BB51BD" w:rsidTr="00063EF5">
        <w:tc>
          <w:tcPr>
            <w:tcW w:w="2988" w:type="dxa"/>
          </w:tcPr>
          <w:p w:rsidR="00D9238B" w:rsidRPr="00BB51BD" w:rsidRDefault="00D9238B" w:rsidP="00030076">
            <w:r w:rsidRPr="00BB51BD">
              <w:t>6. Informācija par administratīvajām procedūrām</w:t>
            </w:r>
          </w:p>
        </w:tc>
        <w:tc>
          <w:tcPr>
            <w:tcW w:w="6192" w:type="dxa"/>
          </w:tcPr>
          <w:p w:rsidR="00364155" w:rsidRPr="00BB51BD" w:rsidRDefault="001172FD" w:rsidP="00030076">
            <w:pPr>
              <w:jc w:val="both"/>
            </w:pPr>
            <w:r w:rsidRPr="00BB51BD">
              <w:t>Saistošo</w:t>
            </w:r>
            <w:r w:rsidR="00922851" w:rsidRPr="00BB51BD">
              <w:t xml:space="preserve"> n</w:t>
            </w:r>
            <w:r w:rsidR="00561D1F" w:rsidRPr="00BB51BD">
              <w:t>oteikumu izpildi nodrošinās</w:t>
            </w:r>
            <w:r w:rsidR="00D9238B" w:rsidRPr="00BB51BD">
              <w:t xml:space="preserve"> </w:t>
            </w:r>
            <w:r w:rsidR="0033708F" w:rsidRPr="00BB51BD">
              <w:t>Jelgavas pilsētas pašvaldības iestāde ”Jelgavas sociālo lietu pārvalde” (turpmāk</w:t>
            </w:r>
            <w:r w:rsidR="00BC6884" w:rsidRPr="00BB51BD">
              <w:t xml:space="preserve"> </w:t>
            </w:r>
            <w:r w:rsidR="0033708F" w:rsidRPr="00BB51BD">
              <w:t>-</w:t>
            </w:r>
            <w:r w:rsidR="00BC6884" w:rsidRPr="00BB51BD">
              <w:t xml:space="preserve"> </w:t>
            </w:r>
            <w:r w:rsidR="0033708F" w:rsidRPr="00BB51BD">
              <w:t>JSLP).</w:t>
            </w:r>
          </w:p>
          <w:p w:rsidR="00D9238B" w:rsidRPr="00BB51BD" w:rsidRDefault="00D9238B" w:rsidP="0033708F">
            <w:pPr>
              <w:jc w:val="both"/>
            </w:pPr>
            <w:r w:rsidRPr="00BB51BD">
              <w:t xml:space="preserve">Persona </w:t>
            </w:r>
            <w:r w:rsidR="0033708F" w:rsidRPr="00BB51BD">
              <w:t>JSLP</w:t>
            </w:r>
            <w:r w:rsidRPr="00BB51BD">
              <w:t xml:space="preserve"> </w:t>
            </w:r>
            <w:r w:rsidR="002A49CC">
              <w:t xml:space="preserve">izdoto </w:t>
            </w:r>
            <w:r w:rsidRPr="00BB51BD">
              <w:t>administratīvo aktu var apstrīdēt Jelgavas pilsētas domē.</w:t>
            </w:r>
          </w:p>
        </w:tc>
      </w:tr>
      <w:tr w:rsidR="00D9238B" w:rsidRPr="00BB51BD" w:rsidTr="00063EF5">
        <w:tc>
          <w:tcPr>
            <w:tcW w:w="2988" w:type="dxa"/>
          </w:tcPr>
          <w:p w:rsidR="00D9238B" w:rsidRPr="00BB51BD" w:rsidRDefault="00D9238B" w:rsidP="00030076">
            <w:r w:rsidRPr="00BB51BD"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Pr="00BB51BD" w:rsidRDefault="00922851" w:rsidP="009A098D">
            <w:pPr>
              <w:jc w:val="both"/>
            </w:pPr>
            <w:r w:rsidRPr="00BB51BD">
              <w:t>Saistošo n</w:t>
            </w:r>
            <w:r w:rsidR="00D9238B" w:rsidRPr="00BB51BD">
              <w:t>oteikumu projekts konceptuāli apspries</w:t>
            </w:r>
            <w:r w:rsidR="00364155" w:rsidRPr="00BB51BD">
              <w:t xml:space="preserve">ts </w:t>
            </w:r>
            <w:r w:rsidR="00BB64AB" w:rsidRPr="00BB51BD">
              <w:t>Jelgavas pilsētas domes Sociālo lietu konsultatīvajā komisijā.</w:t>
            </w:r>
          </w:p>
        </w:tc>
      </w:tr>
      <w:tr w:rsidR="00D9238B" w:rsidTr="00063EF5">
        <w:tc>
          <w:tcPr>
            <w:tcW w:w="2988" w:type="dxa"/>
          </w:tcPr>
          <w:p w:rsidR="00D9238B" w:rsidRPr="00BB51BD" w:rsidRDefault="00D9238B" w:rsidP="00030076">
            <w:r w:rsidRPr="00BB51BD">
              <w:t>8.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 w:rsidRPr="00BB51BD">
              <w:t>Saistošie n</w:t>
            </w:r>
            <w:r w:rsidR="00D9238B" w:rsidRPr="00BB51BD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BB51BD">
                <w:rPr>
                  <w:rStyle w:val="Hyperlink"/>
                </w:rPr>
                <w:t>www.likumi.lv</w:t>
              </w:r>
            </w:hyperlink>
            <w:r w:rsidR="00D9238B" w:rsidRPr="00BB51BD">
              <w:t xml:space="preserve">, Jelgavas pilsētas pašvaldības mājas lapā </w:t>
            </w:r>
            <w:hyperlink r:id="rId10" w:history="1">
              <w:r w:rsidR="00D9238B" w:rsidRPr="00BB51BD">
                <w:rPr>
                  <w:rStyle w:val="Hyperlink"/>
                </w:rPr>
                <w:t>www.jelgava.lv</w:t>
              </w:r>
            </w:hyperlink>
            <w:r w:rsidR="00D9238B" w:rsidRPr="00BB51BD">
              <w:t>.</w:t>
            </w:r>
          </w:p>
        </w:tc>
      </w:tr>
    </w:tbl>
    <w:p w:rsidR="00D9238B" w:rsidRDefault="00D9238B" w:rsidP="00030076"/>
    <w:p w:rsidR="00063EF5" w:rsidRDefault="00063EF5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063EF5">
      <w:footerReference w:type="default" r:id="rId11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74" w:rsidRDefault="00546C74" w:rsidP="0061694D">
      <w:r>
        <w:separator/>
      </w:r>
    </w:p>
  </w:endnote>
  <w:endnote w:type="continuationSeparator" w:id="0">
    <w:p w:rsidR="00546C74" w:rsidRDefault="00546C74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557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EF5" w:rsidRDefault="00063E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74" w:rsidRDefault="00546C74" w:rsidP="0061694D">
      <w:r>
        <w:separator/>
      </w:r>
    </w:p>
  </w:footnote>
  <w:footnote w:type="continuationSeparator" w:id="0">
    <w:p w:rsidR="00546C74" w:rsidRDefault="00546C74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16DE7631"/>
    <w:multiLevelType w:val="multilevel"/>
    <w:tmpl w:val="4C247FA6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7FDB"/>
    <w:rsid w:val="00030076"/>
    <w:rsid w:val="000466B9"/>
    <w:rsid w:val="00063EF5"/>
    <w:rsid w:val="00071D61"/>
    <w:rsid w:val="00072BA8"/>
    <w:rsid w:val="00072FE0"/>
    <w:rsid w:val="00074CD5"/>
    <w:rsid w:val="000912EE"/>
    <w:rsid w:val="00092771"/>
    <w:rsid w:val="000A0A67"/>
    <w:rsid w:val="000A364E"/>
    <w:rsid w:val="000A4209"/>
    <w:rsid w:val="000A4987"/>
    <w:rsid w:val="000C5B92"/>
    <w:rsid w:val="000D2079"/>
    <w:rsid w:val="000E7A92"/>
    <w:rsid w:val="000E7FCB"/>
    <w:rsid w:val="000F27F3"/>
    <w:rsid w:val="00101E3D"/>
    <w:rsid w:val="001130EC"/>
    <w:rsid w:val="001172FD"/>
    <w:rsid w:val="00141331"/>
    <w:rsid w:val="00154C0D"/>
    <w:rsid w:val="00155E6E"/>
    <w:rsid w:val="00161E5E"/>
    <w:rsid w:val="00163F18"/>
    <w:rsid w:val="001673E9"/>
    <w:rsid w:val="0018106D"/>
    <w:rsid w:val="00183AAF"/>
    <w:rsid w:val="00196DF1"/>
    <w:rsid w:val="001A4428"/>
    <w:rsid w:val="001B102D"/>
    <w:rsid w:val="001D3358"/>
    <w:rsid w:val="001F0A40"/>
    <w:rsid w:val="001F142A"/>
    <w:rsid w:val="002044BF"/>
    <w:rsid w:val="00210157"/>
    <w:rsid w:val="002233CF"/>
    <w:rsid w:val="0024051A"/>
    <w:rsid w:val="00241775"/>
    <w:rsid w:val="00242525"/>
    <w:rsid w:val="00250D24"/>
    <w:rsid w:val="00255186"/>
    <w:rsid w:val="002641AF"/>
    <w:rsid w:val="002747D7"/>
    <w:rsid w:val="00277CDE"/>
    <w:rsid w:val="002A0620"/>
    <w:rsid w:val="002A49CC"/>
    <w:rsid w:val="002A5274"/>
    <w:rsid w:val="002B0B92"/>
    <w:rsid w:val="002B140E"/>
    <w:rsid w:val="002C0404"/>
    <w:rsid w:val="002C45AF"/>
    <w:rsid w:val="002C54CD"/>
    <w:rsid w:val="002E229B"/>
    <w:rsid w:val="002E29E2"/>
    <w:rsid w:val="002E799F"/>
    <w:rsid w:val="002F0D90"/>
    <w:rsid w:val="002F1326"/>
    <w:rsid w:val="002F1DBE"/>
    <w:rsid w:val="00300BB2"/>
    <w:rsid w:val="00306977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4F6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3E6190"/>
    <w:rsid w:val="00407458"/>
    <w:rsid w:val="0041060F"/>
    <w:rsid w:val="0041406E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20FB"/>
    <w:rsid w:val="00477004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1619"/>
    <w:rsid w:val="0054304D"/>
    <w:rsid w:val="00546C74"/>
    <w:rsid w:val="00546F2C"/>
    <w:rsid w:val="00552D38"/>
    <w:rsid w:val="00561D1F"/>
    <w:rsid w:val="00563E57"/>
    <w:rsid w:val="0058129D"/>
    <w:rsid w:val="00591051"/>
    <w:rsid w:val="00593B06"/>
    <w:rsid w:val="00595DF2"/>
    <w:rsid w:val="00596688"/>
    <w:rsid w:val="00596B56"/>
    <w:rsid w:val="005B146E"/>
    <w:rsid w:val="005B7899"/>
    <w:rsid w:val="005C4FEF"/>
    <w:rsid w:val="005D13EB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2C44"/>
    <w:rsid w:val="006355FE"/>
    <w:rsid w:val="00640E0C"/>
    <w:rsid w:val="00641D1E"/>
    <w:rsid w:val="006429AD"/>
    <w:rsid w:val="00646D2E"/>
    <w:rsid w:val="006526FA"/>
    <w:rsid w:val="00654E91"/>
    <w:rsid w:val="006814FF"/>
    <w:rsid w:val="00692DCC"/>
    <w:rsid w:val="006A769E"/>
    <w:rsid w:val="006B6AE5"/>
    <w:rsid w:val="006C18EF"/>
    <w:rsid w:val="006C77C4"/>
    <w:rsid w:val="006D0380"/>
    <w:rsid w:val="006E6DFD"/>
    <w:rsid w:val="006F1665"/>
    <w:rsid w:val="006F16E5"/>
    <w:rsid w:val="00716C10"/>
    <w:rsid w:val="0072629A"/>
    <w:rsid w:val="007335AF"/>
    <w:rsid w:val="00735B72"/>
    <w:rsid w:val="007476D8"/>
    <w:rsid w:val="007572F5"/>
    <w:rsid w:val="00757425"/>
    <w:rsid w:val="00763D6F"/>
    <w:rsid w:val="00765C14"/>
    <w:rsid w:val="00770F07"/>
    <w:rsid w:val="0077581D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266A2"/>
    <w:rsid w:val="00833968"/>
    <w:rsid w:val="00854473"/>
    <w:rsid w:val="00854961"/>
    <w:rsid w:val="00866008"/>
    <w:rsid w:val="00877317"/>
    <w:rsid w:val="00880199"/>
    <w:rsid w:val="00894152"/>
    <w:rsid w:val="008B59AC"/>
    <w:rsid w:val="008C3D0E"/>
    <w:rsid w:val="008C5B72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01C2"/>
    <w:rsid w:val="00974993"/>
    <w:rsid w:val="00982F92"/>
    <w:rsid w:val="009A098D"/>
    <w:rsid w:val="009A13F8"/>
    <w:rsid w:val="009A50E2"/>
    <w:rsid w:val="009A6AEE"/>
    <w:rsid w:val="009B35C6"/>
    <w:rsid w:val="009B3DE4"/>
    <w:rsid w:val="009C4DFB"/>
    <w:rsid w:val="00A04CB3"/>
    <w:rsid w:val="00A16C30"/>
    <w:rsid w:val="00A20485"/>
    <w:rsid w:val="00A21D5B"/>
    <w:rsid w:val="00A23A63"/>
    <w:rsid w:val="00A336A3"/>
    <w:rsid w:val="00A3708A"/>
    <w:rsid w:val="00A40802"/>
    <w:rsid w:val="00A51A2B"/>
    <w:rsid w:val="00A527F3"/>
    <w:rsid w:val="00A5526E"/>
    <w:rsid w:val="00A57B0E"/>
    <w:rsid w:val="00A631D6"/>
    <w:rsid w:val="00A64C0E"/>
    <w:rsid w:val="00A7411C"/>
    <w:rsid w:val="00A757CE"/>
    <w:rsid w:val="00A860DF"/>
    <w:rsid w:val="00A9033C"/>
    <w:rsid w:val="00AA48C8"/>
    <w:rsid w:val="00AB5A6F"/>
    <w:rsid w:val="00AC4FFD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69"/>
    <w:rsid w:val="00B378F9"/>
    <w:rsid w:val="00B40324"/>
    <w:rsid w:val="00B4732F"/>
    <w:rsid w:val="00B54549"/>
    <w:rsid w:val="00B606A8"/>
    <w:rsid w:val="00B61810"/>
    <w:rsid w:val="00B65CF0"/>
    <w:rsid w:val="00B65EEC"/>
    <w:rsid w:val="00B672A8"/>
    <w:rsid w:val="00B822E2"/>
    <w:rsid w:val="00B84426"/>
    <w:rsid w:val="00B90322"/>
    <w:rsid w:val="00B9118D"/>
    <w:rsid w:val="00B96FBF"/>
    <w:rsid w:val="00B97E2C"/>
    <w:rsid w:val="00BA1706"/>
    <w:rsid w:val="00BB003E"/>
    <w:rsid w:val="00BB51BD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BF6A1E"/>
    <w:rsid w:val="00C102EC"/>
    <w:rsid w:val="00C12D6D"/>
    <w:rsid w:val="00C13806"/>
    <w:rsid w:val="00C14D6A"/>
    <w:rsid w:val="00C2255B"/>
    <w:rsid w:val="00C26B8F"/>
    <w:rsid w:val="00C35069"/>
    <w:rsid w:val="00C35B54"/>
    <w:rsid w:val="00C44F55"/>
    <w:rsid w:val="00C554E0"/>
    <w:rsid w:val="00C63945"/>
    <w:rsid w:val="00C67AE3"/>
    <w:rsid w:val="00C81637"/>
    <w:rsid w:val="00C81995"/>
    <w:rsid w:val="00C81EBD"/>
    <w:rsid w:val="00C83CC2"/>
    <w:rsid w:val="00C85970"/>
    <w:rsid w:val="00C8613F"/>
    <w:rsid w:val="00C92BB2"/>
    <w:rsid w:val="00C96B1B"/>
    <w:rsid w:val="00CB0E63"/>
    <w:rsid w:val="00CC5677"/>
    <w:rsid w:val="00D01814"/>
    <w:rsid w:val="00D04883"/>
    <w:rsid w:val="00D07E6C"/>
    <w:rsid w:val="00D165DC"/>
    <w:rsid w:val="00D23606"/>
    <w:rsid w:val="00D377CD"/>
    <w:rsid w:val="00D40D9C"/>
    <w:rsid w:val="00D410EC"/>
    <w:rsid w:val="00D50D59"/>
    <w:rsid w:val="00D61541"/>
    <w:rsid w:val="00D61DD4"/>
    <w:rsid w:val="00D62FCF"/>
    <w:rsid w:val="00D743E5"/>
    <w:rsid w:val="00D75D27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3322B"/>
    <w:rsid w:val="00E423FB"/>
    <w:rsid w:val="00E52EFE"/>
    <w:rsid w:val="00E73307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65D58"/>
    <w:rsid w:val="00F71533"/>
    <w:rsid w:val="00F94B1A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F452-3454-4997-A326-CCF13957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15</cp:revision>
  <cp:lastPrinted>2014-04-17T09:48:00Z</cp:lastPrinted>
  <dcterms:created xsi:type="dcterms:W3CDTF">2014-03-31T05:22:00Z</dcterms:created>
  <dcterms:modified xsi:type="dcterms:W3CDTF">2014-04-22T10:27:00Z</dcterms:modified>
</cp:coreProperties>
</file>