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F450A" w:rsidRDefault="005F450A"/>
    <w:p w:rsidR="0080713A" w:rsidRPr="007D6103" w:rsidRDefault="0080713A" w:rsidP="0080713A">
      <w:pPr>
        <w:ind w:left="4962"/>
        <w:jc w:val="both"/>
      </w:pPr>
      <w:r w:rsidRPr="007D6103">
        <w:t xml:space="preserve">Apstiprināti ar </w:t>
      </w:r>
    </w:p>
    <w:p w:rsidR="0080713A" w:rsidRPr="007D6103" w:rsidRDefault="0080713A" w:rsidP="0080713A">
      <w:pPr>
        <w:ind w:left="4962"/>
        <w:jc w:val="both"/>
      </w:pPr>
      <w:r w:rsidRPr="007D6103">
        <w:t xml:space="preserve">Jelgavas pilsētas domes </w:t>
      </w:r>
    </w:p>
    <w:p w:rsidR="0080713A" w:rsidRPr="007D6103" w:rsidRDefault="0080713A" w:rsidP="0080713A">
      <w:pPr>
        <w:ind w:left="4962"/>
        <w:jc w:val="both"/>
      </w:pPr>
      <w:r w:rsidRPr="007D6103">
        <w:t>201</w:t>
      </w:r>
      <w:r>
        <w:t>4</w:t>
      </w:r>
      <w:r w:rsidRPr="007D6103">
        <w:t xml:space="preserve">.gada </w:t>
      </w:r>
      <w:r>
        <w:t>23.oktobra</w:t>
      </w:r>
      <w:r w:rsidRPr="007D6103">
        <w:t xml:space="preserve"> lēmumu Nr</w:t>
      </w:r>
      <w:r w:rsidR="00892EF7" w:rsidRPr="007D6103">
        <w:t>.</w:t>
      </w:r>
      <w:r w:rsidR="00892EF7">
        <w:t>16/3</w:t>
      </w:r>
    </w:p>
    <w:p w:rsidR="0080713A" w:rsidRDefault="0080713A" w:rsidP="0080713A">
      <w:pPr>
        <w:jc w:val="center"/>
        <w:rPr>
          <w:b/>
          <w:bCs/>
        </w:rPr>
      </w:pPr>
    </w:p>
    <w:p w:rsidR="0080713A" w:rsidRDefault="0080713A" w:rsidP="0080713A">
      <w:pPr>
        <w:jc w:val="center"/>
        <w:rPr>
          <w:b/>
          <w:bCs/>
        </w:rPr>
      </w:pPr>
      <w:r w:rsidRPr="007D6103">
        <w:rPr>
          <w:b/>
          <w:bCs/>
        </w:rPr>
        <w:t xml:space="preserve">JELGAVAS PILSĒTAS PAŠVALDĪBAS </w:t>
      </w:r>
    </w:p>
    <w:p w:rsidR="0080713A" w:rsidRDefault="0080713A" w:rsidP="0080713A">
      <w:pPr>
        <w:jc w:val="center"/>
        <w:rPr>
          <w:b/>
          <w:bCs/>
        </w:rPr>
      </w:pPr>
      <w:r w:rsidRPr="007D6103">
        <w:rPr>
          <w:b/>
          <w:bCs/>
        </w:rPr>
        <w:t>201</w:t>
      </w:r>
      <w:r>
        <w:rPr>
          <w:b/>
          <w:bCs/>
        </w:rPr>
        <w:t>4</w:t>
      </w:r>
      <w:r w:rsidRPr="007D6103">
        <w:rPr>
          <w:b/>
          <w:bCs/>
        </w:rPr>
        <w:t xml:space="preserve">.GADA </w:t>
      </w:r>
      <w:r>
        <w:rPr>
          <w:b/>
          <w:bCs/>
        </w:rPr>
        <w:t xml:space="preserve">23.OKTOBRA </w:t>
      </w:r>
      <w:r w:rsidRPr="007D6103">
        <w:rPr>
          <w:b/>
          <w:bCs/>
        </w:rPr>
        <w:t>SAISTOŠIE NOTEIKUMI NR.</w:t>
      </w:r>
      <w:r w:rsidR="00892EF7">
        <w:rPr>
          <w:b/>
          <w:bCs/>
        </w:rPr>
        <w:t>14-22</w:t>
      </w:r>
      <w:r w:rsidRPr="007D6103">
        <w:rPr>
          <w:b/>
          <w:bCs/>
        </w:rPr>
        <w:t xml:space="preserve"> </w:t>
      </w:r>
    </w:p>
    <w:p w:rsidR="0080713A" w:rsidRPr="007D6103" w:rsidRDefault="0080713A" w:rsidP="0080713A">
      <w:pPr>
        <w:jc w:val="center"/>
        <w:rPr>
          <w:b/>
          <w:bCs/>
        </w:rPr>
      </w:pPr>
      <w:r w:rsidRPr="007D6103">
        <w:rPr>
          <w:b/>
          <w:bCs/>
        </w:rPr>
        <w:t>„</w:t>
      </w:r>
      <w:r>
        <w:rPr>
          <w:b/>
          <w:bCs/>
        </w:rPr>
        <w:t>GROZĪJUMI JELGAVAS PILSĒTAS PAŠVALDĪBAS 2014.GADA 27.MARTA SAISTOŠAJOS NOTEIKUMOS NR.14-4 „</w:t>
      </w:r>
      <w:r w:rsidRPr="007D6103">
        <w:rPr>
          <w:b/>
        </w:rPr>
        <w:t>JELGAVAS PILSĒTAS PAŠVALDĪBAS PIRMSSKOLAS IZGLĪTĪBAS NODROŠINĀŠANAS FUNKCIJAS ĪSTENOŠANAS KĀRTĪBA</w:t>
      </w:r>
      <w:r>
        <w:rPr>
          <w:b/>
        </w:rPr>
        <w:t>”</w:t>
      </w:r>
      <w:r w:rsidRPr="007D6103">
        <w:rPr>
          <w:b/>
          <w:bCs/>
        </w:rPr>
        <w:t>”</w:t>
      </w:r>
    </w:p>
    <w:p w:rsidR="0080713A" w:rsidRDefault="0080713A" w:rsidP="0080713A">
      <w:pPr>
        <w:ind w:left="4962"/>
        <w:jc w:val="both"/>
      </w:pPr>
      <w:bookmarkStart w:id="0" w:name="_GoBack"/>
      <w:bookmarkEnd w:id="0"/>
    </w:p>
    <w:p w:rsidR="0080713A" w:rsidRDefault="0080713A" w:rsidP="0080713A">
      <w:pPr>
        <w:ind w:left="4962"/>
        <w:jc w:val="both"/>
      </w:pPr>
    </w:p>
    <w:p w:rsidR="0080713A" w:rsidRDefault="0080713A" w:rsidP="0080713A">
      <w:pPr>
        <w:ind w:left="4962"/>
        <w:jc w:val="both"/>
      </w:pPr>
      <w:r w:rsidRPr="007D6103">
        <w:t xml:space="preserve">Izdoti saskaņā ar likuma “Par pašvaldībām” </w:t>
      </w:r>
      <w:r>
        <w:t xml:space="preserve">15.panta pirmās daļas 4.punktu, </w:t>
      </w:r>
      <w:r w:rsidRPr="007D6103">
        <w:t>43.panta trešo daļu</w:t>
      </w:r>
      <w:r>
        <w:t xml:space="preserve">, </w:t>
      </w:r>
    </w:p>
    <w:p w:rsidR="0080713A" w:rsidRPr="007D6103" w:rsidRDefault="0080713A" w:rsidP="0080713A">
      <w:pPr>
        <w:ind w:left="4962"/>
        <w:jc w:val="both"/>
        <w:rPr>
          <w:b/>
          <w:bCs/>
        </w:rPr>
      </w:pPr>
      <w:r>
        <w:t>Vispārējās izglītības likuma 21.pantu un 26.panta pirmo daļu</w:t>
      </w:r>
      <w:r w:rsidRPr="007D6103">
        <w:t xml:space="preserve"> </w:t>
      </w:r>
    </w:p>
    <w:p w:rsidR="0080713A" w:rsidRDefault="0080713A" w:rsidP="0080713A"/>
    <w:p w:rsidR="0080713A" w:rsidRDefault="0080713A" w:rsidP="0080713A"/>
    <w:p w:rsidR="0080713A" w:rsidRDefault="0080713A" w:rsidP="0080713A"/>
    <w:p w:rsidR="0080713A" w:rsidRDefault="0080713A" w:rsidP="0080713A">
      <w:pPr>
        <w:pStyle w:val="Header"/>
        <w:tabs>
          <w:tab w:val="clear" w:pos="4153"/>
          <w:tab w:val="clear" w:pos="8306"/>
        </w:tabs>
        <w:ind w:firstLine="426"/>
        <w:jc w:val="both"/>
        <w:rPr>
          <w:bCs/>
        </w:rPr>
      </w:pPr>
      <w:r>
        <w:rPr>
          <w:bCs/>
        </w:rPr>
        <w:t xml:space="preserve">Izdarīt </w:t>
      </w:r>
      <w:r w:rsidRPr="005325B8">
        <w:rPr>
          <w:bCs/>
        </w:rPr>
        <w:t>Je</w:t>
      </w:r>
      <w:r>
        <w:rPr>
          <w:bCs/>
        </w:rPr>
        <w:t>lgavas pilsētas pašvaldības 2014</w:t>
      </w:r>
      <w:r w:rsidRPr="005325B8">
        <w:rPr>
          <w:bCs/>
        </w:rPr>
        <w:t xml:space="preserve">.gada </w:t>
      </w:r>
      <w:r>
        <w:rPr>
          <w:bCs/>
        </w:rPr>
        <w:t>27.marta</w:t>
      </w:r>
      <w:r w:rsidRPr="005325B8">
        <w:rPr>
          <w:bCs/>
        </w:rPr>
        <w:t xml:space="preserve"> saistoš</w:t>
      </w:r>
      <w:r>
        <w:rPr>
          <w:bCs/>
        </w:rPr>
        <w:t>ajos noteikumo</w:t>
      </w:r>
      <w:r w:rsidRPr="005325B8">
        <w:rPr>
          <w:bCs/>
        </w:rPr>
        <w:t>s Nr.</w:t>
      </w:r>
      <w:r>
        <w:rPr>
          <w:bCs/>
        </w:rPr>
        <w:t>14-4</w:t>
      </w:r>
      <w:r w:rsidRPr="005325B8">
        <w:rPr>
          <w:bCs/>
        </w:rPr>
        <w:t xml:space="preserve"> „Jelgavas pilsētas pašvaldības pirmsskolas izglītības nodrošināšanas funkcijas īstenošanas kārtība”</w:t>
      </w:r>
      <w:r>
        <w:rPr>
          <w:bCs/>
        </w:rPr>
        <w:t xml:space="preserve"> (apstiprināti ar Jelgavas pilsētas domes 2014.gada 27.marta lēmumu Nr.4/1)</w:t>
      </w:r>
      <w:r w:rsidRPr="005325B8">
        <w:rPr>
          <w:bCs/>
        </w:rPr>
        <w:t xml:space="preserve"> </w:t>
      </w:r>
      <w:r>
        <w:rPr>
          <w:bCs/>
        </w:rPr>
        <w:t>(turpmāk – saistošie noteikumi) šādus grozījumus:</w:t>
      </w:r>
    </w:p>
    <w:p w:rsidR="001C2A81" w:rsidRDefault="001C2A81" w:rsidP="008A2E28">
      <w:pPr>
        <w:jc w:val="both"/>
      </w:pPr>
    </w:p>
    <w:p w:rsidR="00FA2B73" w:rsidRDefault="00FA2B73" w:rsidP="009765E2">
      <w:pPr>
        <w:pStyle w:val="ListParagraph"/>
        <w:numPr>
          <w:ilvl w:val="0"/>
          <w:numId w:val="4"/>
        </w:numPr>
        <w:jc w:val="both"/>
      </w:pPr>
      <w:r>
        <w:t>papildināt saistošos noteikumus ar 12.3.</w:t>
      </w:r>
      <w:r w:rsidRPr="000370FB">
        <w:rPr>
          <w:vertAlign w:val="superscript"/>
        </w:rPr>
        <w:t>1</w:t>
      </w:r>
      <w:r>
        <w:t xml:space="preserve"> apakšpunktu šādā redakcijā:</w:t>
      </w:r>
    </w:p>
    <w:p w:rsidR="009765E2" w:rsidRDefault="009765E2" w:rsidP="009765E2">
      <w:pPr>
        <w:pStyle w:val="ListParagraph"/>
        <w:ind w:left="786"/>
        <w:jc w:val="both"/>
      </w:pPr>
    </w:p>
    <w:p w:rsidR="009765E2" w:rsidRDefault="009765E2" w:rsidP="00ED2B5E">
      <w:pPr>
        <w:pStyle w:val="ListParagraph"/>
        <w:ind w:left="1701" w:hanging="850"/>
        <w:jc w:val="both"/>
      </w:pPr>
      <w:r>
        <w:t>„12.3.</w:t>
      </w:r>
      <w:r w:rsidRPr="000370FB">
        <w:rPr>
          <w:vertAlign w:val="superscript"/>
        </w:rPr>
        <w:t>1</w:t>
      </w:r>
      <w:r>
        <w:t xml:space="preserve"> </w:t>
      </w:r>
      <w:r>
        <w:tab/>
        <w:t>daudzbērnu ģimeņu bērniem, ja bērnam dzīvesvieta ir deklarēta Jelgavas pilsētas administratīvajā teritorijā (daudzbērnu ģimene šo saistošo noteikumu izpratnē ir ģimene, kurā ir trīs vai vairāk bērnu);”;</w:t>
      </w:r>
    </w:p>
    <w:p w:rsidR="009765E2" w:rsidRDefault="009765E2" w:rsidP="009765E2">
      <w:pPr>
        <w:pStyle w:val="ListParagraph"/>
        <w:ind w:left="786"/>
        <w:jc w:val="both"/>
      </w:pPr>
    </w:p>
    <w:p w:rsidR="009765E2" w:rsidRDefault="009765E2" w:rsidP="009765E2">
      <w:pPr>
        <w:pStyle w:val="ListParagraph"/>
        <w:numPr>
          <w:ilvl w:val="0"/>
          <w:numId w:val="4"/>
        </w:numPr>
        <w:jc w:val="both"/>
      </w:pPr>
      <w:r>
        <w:t xml:space="preserve">papildināt saistošos </w:t>
      </w:r>
      <w:r w:rsidRPr="00FA2B73">
        <w:t>noteikumus ar 12.3.</w:t>
      </w:r>
      <w:r w:rsidRPr="009765E2">
        <w:rPr>
          <w:vertAlign w:val="superscript"/>
        </w:rPr>
        <w:t>2</w:t>
      </w:r>
      <w:r w:rsidRPr="00FA2B73">
        <w:t xml:space="preserve"> apakšpunktu šādā redakcijā</w:t>
      </w:r>
      <w:r>
        <w:t>:</w:t>
      </w:r>
    </w:p>
    <w:p w:rsidR="009765E2" w:rsidRDefault="009765E2" w:rsidP="009765E2">
      <w:pPr>
        <w:pStyle w:val="ListParagraph"/>
        <w:ind w:left="786"/>
        <w:jc w:val="both"/>
      </w:pPr>
    </w:p>
    <w:p w:rsidR="009765E2" w:rsidRDefault="009765E2" w:rsidP="00ED2B5E">
      <w:pPr>
        <w:pStyle w:val="ListParagraph"/>
        <w:ind w:left="1701" w:hanging="850"/>
        <w:jc w:val="both"/>
      </w:pPr>
      <w:r>
        <w:t>„12.3.</w:t>
      </w:r>
      <w:r w:rsidRPr="009765E2">
        <w:rPr>
          <w:vertAlign w:val="superscript"/>
        </w:rPr>
        <w:t>2</w:t>
      </w:r>
      <w:r>
        <w:t xml:space="preserve"> </w:t>
      </w:r>
      <w:r>
        <w:tab/>
        <w:t>dvīņiem vai vairāk vienās dzemdībās dzimušiem bērniem, ja bērn</w:t>
      </w:r>
      <w:r w:rsidR="009902C6">
        <w:t>a</w:t>
      </w:r>
      <w:r>
        <w:t xml:space="preserve"> dzīvesvieta deklarēta Jelgavas pilsētas administratīvajā teritorijā;”;</w:t>
      </w:r>
    </w:p>
    <w:p w:rsidR="009765E2" w:rsidRDefault="009765E2" w:rsidP="009765E2">
      <w:pPr>
        <w:pStyle w:val="ListParagraph"/>
        <w:ind w:left="786"/>
        <w:jc w:val="both"/>
      </w:pPr>
    </w:p>
    <w:p w:rsidR="009765E2" w:rsidRDefault="009765E2" w:rsidP="009765E2">
      <w:pPr>
        <w:pStyle w:val="ListParagraph"/>
        <w:numPr>
          <w:ilvl w:val="0"/>
          <w:numId w:val="4"/>
        </w:numPr>
        <w:jc w:val="both"/>
      </w:pPr>
      <w:r w:rsidRPr="00FA2B73">
        <w:t>papildināt saistošos noteikumus ar 12.3.</w:t>
      </w:r>
      <w:r>
        <w:rPr>
          <w:vertAlign w:val="superscript"/>
        </w:rPr>
        <w:t>3</w:t>
      </w:r>
      <w:r w:rsidRPr="00FA2B73">
        <w:t xml:space="preserve"> apakšpunktu šādā redakcijā</w:t>
      </w:r>
      <w:r>
        <w:t>:</w:t>
      </w:r>
    </w:p>
    <w:p w:rsidR="009765E2" w:rsidRDefault="009765E2" w:rsidP="00ED2B5E">
      <w:pPr>
        <w:pStyle w:val="ListParagraph"/>
        <w:ind w:left="786"/>
        <w:jc w:val="both"/>
      </w:pPr>
    </w:p>
    <w:p w:rsidR="009765E2" w:rsidRDefault="009765E2" w:rsidP="00ED2B5E">
      <w:pPr>
        <w:pStyle w:val="ListParagraph"/>
        <w:ind w:left="1701" w:hanging="850"/>
        <w:jc w:val="both"/>
      </w:pPr>
      <w:r>
        <w:t>„12.3.</w:t>
      </w:r>
      <w:r w:rsidRPr="009765E2">
        <w:rPr>
          <w:vertAlign w:val="superscript"/>
        </w:rPr>
        <w:t>3</w:t>
      </w:r>
      <w:r>
        <w:t xml:space="preserve"> </w:t>
      </w:r>
      <w:r w:rsidRPr="00FA2B73">
        <w:t>bērn</w:t>
      </w:r>
      <w:r w:rsidR="009902C6">
        <w:t>a</w:t>
      </w:r>
      <w:r w:rsidRPr="00FA2B73">
        <w:t>m, kur</w:t>
      </w:r>
      <w:r w:rsidR="009902C6">
        <w:t>a</w:t>
      </w:r>
      <w:r w:rsidRPr="00FA2B73">
        <w:t xml:space="preserve"> brālis (-</w:t>
      </w:r>
      <w:proofErr w:type="spellStart"/>
      <w:r w:rsidRPr="00FA2B73">
        <w:t>ļi</w:t>
      </w:r>
      <w:proofErr w:type="spellEnd"/>
      <w:r w:rsidRPr="00FA2B73">
        <w:t>) vai māsa (-</w:t>
      </w:r>
      <w:proofErr w:type="spellStart"/>
      <w:r w:rsidRPr="00FA2B73">
        <w:t>as</w:t>
      </w:r>
      <w:proofErr w:type="spellEnd"/>
      <w:r w:rsidRPr="00FA2B73">
        <w:t>) ap</w:t>
      </w:r>
      <w:r w:rsidR="009902C6">
        <w:t>meklē</w:t>
      </w:r>
      <w:r w:rsidRPr="00FA2B73">
        <w:t xml:space="preserve"> konkrēt</w:t>
      </w:r>
      <w:r w:rsidR="009902C6">
        <w:t>o</w:t>
      </w:r>
      <w:r w:rsidRPr="00FA2B73">
        <w:t xml:space="preserve"> pašvaldības pirmsskolas izglītības iestād</w:t>
      </w:r>
      <w:r w:rsidR="009902C6">
        <w:t>i</w:t>
      </w:r>
      <w:r>
        <w:t>;”;</w:t>
      </w:r>
    </w:p>
    <w:p w:rsidR="009765E2" w:rsidRDefault="009765E2" w:rsidP="009765E2">
      <w:pPr>
        <w:pStyle w:val="ListParagraph"/>
        <w:ind w:left="786"/>
        <w:jc w:val="both"/>
      </w:pPr>
    </w:p>
    <w:p w:rsidR="009765E2" w:rsidRPr="009765E2" w:rsidRDefault="009765E2" w:rsidP="009765E2">
      <w:pPr>
        <w:pStyle w:val="ListParagraph"/>
        <w:numPr>
          <w:ilvl w:val="0"/>
          <w:numId w:val="4"/>
        </w:numPr>
        <w:jc w:val="both"/>
      </w:pPr>
      <w:r>
        <w:rPr>
          <w:bCs/>
        </w:rPr>
        <w:t>svītrot saistošo noteikumu 12.7. un 12.8.apakšpunktus;</w:t>
      </w:r>
    </w:p>
    <w:p w:rsidR="009765E2" w:rsidRPr="009765E2" w:rsidRDefault="009765E2" w:rsidP="009765E2">
      <w:pPr>
        <w:pStyle w:val="ListParagraph"/>
        <w:numPr>
          <w:ilvl w:val="0"/>
          <w:numId w:val="4"/>
        </w:numPr>
        <w:jc w:val="both"/>
      </w:pPr>
      <w:r>
        <w:rPr>
          <w:bCs/>
        </w:rPr>
        <w:lastRenderedPageBreak/>
        <w:t xml:space="preserve">aizstāt saistošo noteikumu 13.punktā skaitli „12.8.” ar skaitli </w:t>
      </w:r>
      <w:r w:rsidRPr="00E90990">
        <w:rPr>
          <w:bCs/>
        </w:rPr>
        <w:t>„12.</w:t>
      </w:r>
      <w:r>
        <w:rPr>
          <w:bCs/>
        </w:rPr>
        <w:t>6.”;</w:t>
      </w:r>
    </w:p>
    <w:p w:rsidR="009765E2" w:rsidRPr="009765E2" w:rsidRDefault="009765E2" w:rsidP="00ED2B5E">
      <w:pPr>
        <w:pStyle w:val="ListParagraph"/>
        <w:ind w:left="786"/>
        <w:jc w:val="both"/>
      </w:pPr>
    </w:p>
    <w:p w:rsidR="009765E2" w:rsidRDefault="009765E2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svītrot saistošo noteikumu 14.punktā vārdus „iespēju robežās”;</w:t>
      </w:r>
    </w:p>
    <w:p w:rsidR="009765E2" w:rsidRDefault="009765E2" w:rsidP="00ED2B5E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9765E2" w:rsidRDefault="009765E2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svītrot saistošo noteikumu 18.punkta otro teikumu;</w:t>
      </w:r>
    </w:p>
    <w:p w:rsidR="009765E2" w:rsidRDefault="009765E2" w:rsidP="00ED2B5E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9765E2" w:rsidRDefault="009765E2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izteikt saistošo noteikumu 19.punktu šādā redakcijā:</w:t>
      </w:r>
    </w:p>
    <w:p w:rsidR="009765E2" w:rsidRDefault="009765E2" w:rsidP="009765E2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9765E2" w:rsidRDefault="009765E2" w:rsidP="00EF589A">
      <w:pPr>
        <w:pStyle w:val="Header"/>
        <w:tabs>
          <w:tab w:val="clear" w:pos="4153"/>
          <w:tab w:val="clear" w:pos="8306"/>
        </w:tabs>
        <w:ind w:left="1418" w:hanging="567"/>
        <w:jc w:val="both"/>
      </w:pPr>
      <w:r>
        <w:rPr>
          <w:bCs/>
        </w:rPr>
        <w:t>„19.</w:t>
      </w:r>
      <w:r w:rsidRPr="001E16F3">
        <w:rPr>
          <w:bCs/>
          <w:vertAlign w:val="superscript"/>
        </w:rPr>
        <w:tab/>
      </w:r>
      <w:r w:rsidRPr="00110A50">
        <w:t>Vecākam ir tiesības atteikties no piešķirtās vietas pašvaldības pirmsskolas izglītības iestādē, kas pieteikumā ir norādīta kā vēlamā, un turpināt saņemt pašvaldības līdzfinansējumu, ja bērns apmeklē privāto izglītības iestādi</w:t>
      </w:r>
      <w:r>
        <w:t xml:space="preserve">, izņemot saistošo noteikumu </w:t>
      </w:r>
      <w:r w:rsidRPr="00BB6934">
        <w:t>32.7.punktā</w:t>
      </w:r>
      <w:r>
        <w:t xml:space="preserve"> noteiktajā gadījumā.”;</w:t>
      </w:r>
    </w:p>
    <w:p w:rsidR="009765E2" w:rsidRDefault="009765E2" w:rsidP="00ED2B5E">
      <w:pPr>
        <w:pStyle w:val="Header"/>
        <w:tabs>
          <w:tab w:val="clear" w:pos="4153"/>
          <w:tab w:val="clear" w:pos="8306"/>
        </w:tabs>
        <w:jc w:val="both"/>
      </w:pPr>
    </w:p>
    <w:p w:rsidR="009765E2" w:rsidRDefault="009765E2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svītrot saistošo noteikumu 26.punktā vārdus „vasaras mēnešos” un vārdus „no četrām līdz astoņām nedēļām”;</w:t>
      </w:r>
    </w:p>
    <w:p w:rsidR="00D811D6" w:rsidRDefault="00D811D6" w:rsidP="00EF589A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5F48FD" w:rsidRDefault="005F48FD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svītrot saistošo noteikumu 31.punkta trešajā teikumā vārdu „ģimenes”;</w:t>
      </w:r>
    </w:p>
    <w:p w:rsidR="009765E2" w:rsidRDefault="009765E2" w:rsidP="00ED2B5E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9765E2" w:rsidRDefault="009765E2" w:rsidP="009765E2">
      <w:pPr>
        <w:pStyle w:val="Header"/>
        <w:numPr>
          <w:ilvl w:val="0"/>
          <w:numId w:val="4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papildināt saistošos noteikumus ar 32.7.apakšpunktu šādā redakcijā:</w:t>
      </w:r>
    </w:p>
    <w:p w:rsidR="009765E2" w:rsidRDefault="009765E2" w:rsidP="009765E2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9765E2" w:rsidRDefault="009765E2">
      <w:pPr>
        <w:pStyle w:val="Header"/>
        <w:tabs>
          <w:tab w:val="clear" w:pos="4153"/>
          <w:tab w:val="clear" w:pos="8306"/>
        </w:tabs>
        <w:ind w:left="1560" w:hanging="709"/>
        <w:jc w:val="both"/>
        <w:rPr>
          <w:bCs/>
        </w:rPr>
      </w:pPr>
      <w:r>
        <w:rPr>
          <w:bCs/>
        </w:rPr>
        <w:t>„32.7.</w:t>
      </w:r>
      <w:r>
        <w:rPr>
          <w:bCs/>
        </w:rPr>
        <w:tab/>
        <w:t>bērna vecāk</w:t>
      </w:r>
      <w:r w:rsidR="00D91C6B">
        <w:rPr>
          <w:bCs/>
        </w:rPr>
        <w:t>s</w:t>
      </w:r>
      <w:r>
        <w:rPr>
          <w:bCs/>
        </w:rPr>
        <w:t xml:space="preserve"> atsakās no piešķirtās vietas pašvaldības pirmsskolas izglītības iestādē, kas pieteikumā ir norādīta kā vēlamā, ja pēc minētā atteikuma konkrētajā </w:t>
      </w:r>
      <w:r w:rsidR="0045429B">
        <w:rPr>
          <w:bCs/>
        </w:rPr>
        <w:t xml:space="preserve">pašvaldības pirmsskolas </w:t>
      </w:r>
      <w:r>
        <w:rPr>
          <w:bCs/>
        </w:rPr>
        <w:t>izglītības iestādē saglabājas brīva vieta, uz kuru nav citu pretendentu.”.</w:t>
      </w:r>
    </w:p>
    <w:p w:rsidR="0080713A" w:rsidRDefault="0080713A" w:rsidP="0080713A">
      <w:pPr>
        <w:pStyle w:val="Header"/>
        <w:ind w:left="851" w:hanging="284"/>
        <w:jc w:val="both"/>
        <w:rPr>
          <w:bCs/>
        </w:rPr>
      </w:pPr>
    </w:p>
    <w:p w:rsidR="00ED1992" w:rsidRDefault="00ED1992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</w:p>
    <w:p w:rsidR="00ED2B5E" w:rsidRDefault="00ED2B5E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</w:p>
    <w:p w:rsidR="0080713A" w:rsidRDefault="0080713A" w:rsidP="0080713A">
      <w:pPr>
        <w:pStyle w:val="Header"/>
        <w:tabs>
          <w:tab w:val="clear" w:pos="8306"/>
        </w:tabs>
        <w:ind w:left="851" w:hanging="851"/>
        <w:jc w:val="both"/>
        <w:rPr>
          <w:bCs/>
        </w:rPr>
      </w:pPr>
      <w:r>
        <w:rPr>
          <w:bCs/>
        </w:rPr>
        <w:t>Jelgavas pilsētas domes priekšsēdētājs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A.Rāviņš</w:t>
      </w:r>
    </w:p>
    <w:sectPr w:rsidR="0080713A" w:rsidSect="00431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F9" w:rsidRDefault="00C124F9">
      <w:r>
        <w:separator/>
      </w:r>
    </w:p>
  </w:endnote>
  <w:endnote w:type="continuationSeparator" w:id="0">
    <w:p w:rsidR="00C124F9" w:rsidRDefault="00C1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8743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1390" cy="486410"/>
          <wp:effectExtent l="0" t="0" r="0" b="8890"/>
          <wp:docPr id="2" name="Attēls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F9" w:rsidRDefault="00C124F9">
      <w:r>
        <w:separator/>
      </w:r>
    </w:p>
  </w:footnote>
  <w:footnote w:type="continuationSeparator" w:id="0">
    <w:p w:rsidR="00C124F9" w:rsidRDefault="00C12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8743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8743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0725" cy="867410"/>
                                <wp:effectExtent l="0" t="0" r="3175" b="8890"/>
                                <wp:docPr id="3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87433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0725" cy="867410"/>
                          <wp:effectExtent l="0" t="0" r="3175" b="8890"/>
                          <wp:docPr id="3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B51"/>
    <w:multiLevelType w:val="hybridMultilevel"/>
    <w:tmpl w:val="30F6BCF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5A5AAA"/>
    <w:multiLevelType w:val="hybridMultilevel"/>
    <w:tmpl w:val="E0B651DA"/>
    <w:lvl w:ilvl="0" w:tplc="844E3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FE132D"/>
    <w:multiLevelType w:val="hybridMultilevel"/>
    <w:tmpl w:val="7234CF6A"/>
    <w:lvl w:ilvl="0" w:tplc="58506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70FB"/>
    <w:rsid w:val="00061F12"/>
    <w:rsid w:val="00087609"/>
    <w:rsid w:val="00167F75"/>
    <w:rsid w:val="001A7689"/>
    <w:rsid w:val="001C2A81"/>
    <w:rsid w:val="001D0B3D"/>
    <w:rsid w:val="001E16F3"/>
    <w:rsid w:val="001E6EBE"/>
    <w:rsid w:val="00234525"/>
    <w:rsid w:val="00284121"/>
    <w:rsid w:val="00290D89"/>
    <w:rsid w:val="002F6D8C"/>
    <w:rsid w:val="00347AB3"/>
    <w:rsid w:val="003B049D"/>
    <w:rsid w:val="003F73F6"/>
    <w:rsid w:val="0043121C"/>
    <w:rsid w:val="00441ED5"/>
    <w:rsid w:val="0045429B"/>
    <w:rsid w:val="004B5683"/>
    <w:rsid w:val="004C024E"/>
    <w:rsid w:val="00587433"/>
    <w:rsid w:val="005F04A9"/>
    <w:rsid w:val="005F450A"/>
    <w:rsid w:val="005F48FD"/>
    <w:rsid w:val="006139B3"/>
    <w:rsid w:val="00655ABB"/>
    <w:rsid w:val="00674CB2"/>
    <w:rsid w:val="006E7C3C"/>
    <w:rsid w:val="0080713A"/>
    <w:rsid w:val="00892EF7"/>
    <w:rsid w:val="008A2E28"/>
    <w:rsid w:val="009269C7"/>
    <w:rsid w:val="009765E2"/>
    <w:rsid w:val="009902C6"/>
    <w:rsid w:val="00B54022"/>
    <w:rsid w:val="00B7291C"/>
    <w:rsid w:val="00B908CC"/>
    <w:rsid w:val="00BB6934"/>
    <w:rsid w:val="00C04AA8"/>
    <w:rsid w:val="00C0535B"/>
    <w:rsid w:val="00C124F9"/>
    <w:rsid w:val="00C36D28"/>
    <w:rsid w:val="00C62A5F"/>
    <w:rsid w:val="00C70C71"/>
    <w:rsid w:val="00C9445C"/>
    <w:rsid w:val="00CB262E"/>
    <w:rsid w:val="00CD2A05"/>
    <w:rsid w:val="00D123BB"/>
    <w:rsid w:val="00D3108D"/>
    <w:rsid w:val="00D811D6"/>
    <w:rsid w:val="00D84EBE"/>
    <w:rsid w:val="00D91C6B"/>
    <w:rsid w:val="00DA340C"/>
    <w:rsid w:val="00DC009C"/>
    <w:rsid w:val="00E10C81"/>
    <w:rsid w:val="00E90990"/>
    <w:rsid w:val="00EC06E0"/>
    <w:rsid w:val="00ED1992"/>
    <w:rsid w:val="00ED2B5E"/>
    <w:rsid w:val="00EF589A"/>
    <w:rsid w:val="00F24A9C"/>
    <w:rsid w:val="00F47D49"/>
    <w:rsid w:val="00F60AD7"/>
    <w:rsid w:val="00F73BF7"/>
    <w:rsid w:val="00FA09BE"/>
    <w:rsid w:val="00FA2B73"/>
    <w:rsid w:val="00FF3ED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71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8071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713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7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A81"/>
    <w:pPr>
      <w:ind w:left="720"/>
      <w:contextualSpacing/>
    </w:pPr>
  </w:style>
  <w:style w:type="paragraph" w:customStyle="1" w:styleId="tv213">
    <w:name w:val="tv213"/>
    <w:basedOn w:val="Normal"/>
    <w:rsid w:val="001C2A8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4542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42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29B"/>
  </w:style>
  <w:style w:type="paragraph" w:styleId="CommentSubject">
    <w:name w:val="annotation subject"/>
    <w:basedOn w:val="CommentText"/>
    <w:next w:val="CommentText"/>
    <w:link w:val="CommentSubjectChar"/>
    <w:rsid w:val="00454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429B"/>
    <w:rPr>
      <w:b/>
      <w:bCs/>
    </w:rPr>
  </w:style>
  <w:style w:type="paragraph" w:customStyle="1" w:styleId="labojumupamats">
    <w:name w:val="labojumu_pamats"/>
    <w:basedOn w:val="Normal"/>
    <w:rsid w:val="004542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54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8969-DF7B-40C7-9531-6CF53E14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</dc:creator>
  <cp:lastModifiedBy>Spīdola Ozoliņa</cp:lastModifiedBy>
  <cp:revision>6</cp:revision>
  <cp:lastPrinted>2014-10-06T05:05:00Z</cp:lastPrinted>
  <dcterms:created xsi:type="dcterms:W3CDTF">2014-10-08T08:48:00Z</dcterms:created>
  <dcterms:modified xsi:type="dcterms:W3CDTF">2014-10-20T15:32:00Z</dcterms:modified>
</cp:coreProperties>
</file>