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03081" w:rsidTr="00F03081">
        <w:tc>
          <w:tcPr>
            <w:tcW w:w="8522" w:type="dxa"/>
            <w:gridSpan w:val="2"/>
            <w:vAlign w:val="center"/>
          </w:tcPr>
          <w:p w:rsidR="00F03081" w:rsidRPr="00F03081" w:rsidRDefault="00F03081" w:rsidP="00F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03081">
              <w:rPr>
                <w:rFonts w:ascii="Times New Roman" w:hAnsi="Times New Roman" w:cs="Times New Roman"/>
                <w:b/>
                <w:sz w:val="24"/>
                <w:szCs w:val="24"/>
              </w:rPr>
              <w:t>Salīdzinošā tabula</w:t>
            </w:r>
          </w:p>
        </w:tc>
      </w:tr>
      <w:tr w:rsidR="00F03081" w:rsidTr="00F03081">
        <w:tc>
          <w:tcPr>
            <w:tcW w:w="4261" w:type="dxa"/>
            <w:vAlign w:val="center"/>
          </w:tcPr>
          <w:p w:rsidR="00F03081" w:rsidRPr="00F03081" w:rsidRDefault="00F03081" w:rsidP="00F03081">
            <w:pPr>
              <w:jc w:val="center"/>
              <w:rPr>
                <w:i/>
              </w:rPr>
            </w:pPr>
            <w:r w:rsidRPr="00F0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noteikumu „Par fizisku un juridisku personu līdzdalību ielas kanalizācijas tīklu un to pieslēgumu vietu izbūvē Jelgavas pilsētas administratīvajā teritorijā” </w:t>
            </w:r>
            <w:r w:rsidRPr="00F03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spēkā esošā</w:t>
            </w:r>
            <w:r w:rsidRPr="00F0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redakcija</w:t>
            </w:r>
          </w:p>
        </w:tc>
        <w:tc>
          <w:tcPr>
            <w:tcW w:w="4261" w:type="dxa"/>
            <w:vAlign w:val="center"/>
          </w:tcPr>
          <w:p w:rsidR="00F03081" w:rsidRPr="00F03081" w:rsidRDefault="00F03081" w:rsidP="00F03081">
            <w:pPr>
              <w:jc w:val="center"/>
              <w:rPr>
                <w:i/>
              </w:rPr>
            </w:pPr>
            <w:r w:rsidRPr="00F0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noteikumu „Par fizisku un juridisku personu līdzdalību ielas kanalizācijas tīklu un to pieslēgumu vietu izbūvē Jelgavas pilsētas administratīvajā teritorijā” </w:t>
            </w:r>
            <w:r w:rsidRPr="00F03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jaunā</w:t>
            </w:r>
            <w:r w:rsidRPr="00F0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redakcija</w:t>
            </w:r>
          </w:p>
        </w:tc>
      </w:tr>
      <w:tr w:rsidR="00F03081" w:rsidTr="00F03081">
        <w:tc>
          <w:tcPr>
            <w:tcW w:w="4261" w:type="dxa"/>
          </w:tcPr>
          <w:p w:rsidR="00F03081" w:rsidRDefault="00F03081"/>
          <w:p w:rsidR="00F03081" w:rsidRPr="00B936A7" w:rsidRDefault="00825EFC" w:rsidP="00B936A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 nosaka kārtību, kā f</w:t>
            </w:r>
            <w:r w:rsidRPr="009834A7">
              <w:rPr>
                <w:rFonts w:ascii="Times New Roman" w:hAnsi="Times New Roman" w:cs="Times New Roman"/>
                <w:sz w:val="24"/>
                <w:szCs w:val="24"/>
              </w:rPr>
              <w:t xml:space="preserve">iziskas vai juridiskas personas (turpmāk – Iesniedzējs),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kuras vēlas izbūvēt komunikācijas pirms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(turpmāk – pašvaldība)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plānotajiem komunikāciju izbūves termiņiem, ierosina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pieslēguma vietu izbūvi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ielas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sarkanajai līnijai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īpašuma robežai, ja sarkanā līnija atrodas īpašuma teritorijā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(turpmāk – ielas kanalizācijas tīkli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pieslēgumu vietas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) Jelgavas pilsētas administratīvajā teritorijā un veic darbu daļēju finansēšanu.</w:t>
            </w:r>
          </w:p>
        </w:tc>
        <w:tc>
          <w:tcPr>
            <w:tcW w:w="4261" w:type="dxa"/>
          </w:tcPr>
          <w:p w:rsidR="00F03081" w:rsidRDefault="00F03081"/>
        </w:tc>
      </w:tr>
      <w:tr w:rsidR="00F03081" w:rsidTr="00F03081">
        <w:tc>
          <w:tcPr>
            <w:tcW w:w="4261" w:type="dxa"/>
          </w:tcPr>
          <w:p w:rsidR="00F03081" w:rsidRPr="00B936A7" w:rsidRDefault="00825EFC" w:rsidP="00B936A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Pašvaldības līdzfinansējums ir ne vairāk kā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(piecdesmit procenti)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ielas kanalizācijas tīklu un 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izbūves kopējām izmaksām</w:t>
            </w:r>
            <w:r w:rsidR="00B93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0120CC" w:rsidRPr="00CF50F8" w:rsidRDefault="000120CC" w:rsidP="000120CC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0120CC">
              <w:rPr>
                <w:rFonts w:ascii="Times New Roman" w:hAnsi="Times New Roman" w:cs="Times New Roman"/>
                <w:sz w:val="24"/>
                <w:szCs w:val="24"/>
              </w:rPr>
              <w:t xml:space="preserve">Pašvaldības līdzfinansējums ir ne vairāk kā 50% (piecdesmit procenti) no ielas kanalizācijas tīklu un pieslēguma vietu izbūves kopējām izmaksām,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kas sastāv no:</w:t>
            </w:r>
          </w:p>
          <w:p w:rsidR="000120CC" w:rsidRPr="00CF50F8" w:rsidRDefault="000120CC" w:rsidP="000120CC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 Būvdarbu veikšanas izmaksām bez PVN</w:t>
            </w:r>
            <w:r w:rsidRPr="00701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</w:p>
          <w:p w:rsidR="000120CC" w:rsidRPr="00CF50F8" w:rsidRDefault="000120CC" w:rsidP="000120CC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2.2. Būvuzraudzības izmaksām ar PVN.</w:t>
            </w:r>
          </w:p>
          <w:p w:rsidR="00F03081" w:rsidRDefault="00F03081"/>
        </w:tc>
      </w:tr>
      <w:tr w:rsidR="00F03081" w:rsidTr="00F03081">
        <w:tc>
          <w:tcPr>
            <w:tcW w:w="4261" w:type="dxa"/>
          </w:tcPr>
          <w:p w:rsidR="00F03081" w:rsidRPr="00B936A7" w:rsidRDefault="00825EFC" w:rsidP="00B936A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Kanalizācijas tīkla izbūve īpašuma teritorijā līdz pieslēguma vietai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notiek atbilstoši SIA „JELGAVAS ŪDENS” izdotajiem tehniskajiem noteikumiem bez pašvaldības līdzfinansējuma.</w:t>
            </w:r>
          </w:p>
        </w:tc>
        <w:tc>
          <w:tcPr>
            <w:tcW w:w="4261" w:type="dxa"/>
          </w:tcPr>
          <w:p w:rsidR="00F03081" w:rsidRDefault="00F03081"/>
        </w:tc>
      </w:tr>
      <w:tr w:rsidR="00F03081" w:rsidTr="00F03081">
        <w:tc>
          <w:tcPr>
            <w:tcW w:w="4261" w:type="dxa"/>
          </w:tcPr>
          <w:p w:rsidR="00F03081" w:rsidRPr="002B48D7" w:rsidRDefault="00825EFC" w:rsidP="002B48D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Paziņojumu par iesniegum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izbūvei iesniegšanu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atbilstoši </w:t>
            </w:r>
            <w:r w:rsidRPr="00566EEB">
              <w:rPr>
                <w:rFonts w:ascii="Times New Roman" w:hAnsi="Times New Roman" w:cs="Times New Roman"/>
                <w:sz w:val="24"/>
                <w:szCs w:val="24"/>
              </w:rPr>
              <w:t>budžeta gada piešķirtajiem līdzekļiem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pašvaldība publicē vietējā laikrakstā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„Jelgavas Vēstnesis”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, pašvaldības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8" w:history="1">
              <w:r w:rsidRPr="00B01B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www.jelgava.lv</w:t>
              </w:r>
            </w:hyperlink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p-461669"/>
            <w:bookmarkStart w:id="2" w:name="p10"/>
            <w:bookmarkEnd w:id="1"/>
            <w:bookmarkEnd w:id="2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un SIA „JELGAVAS ŪDENS”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9" w:history="1">
              <w:r w:rsidRPr="00B01B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www.ju.lv</w:t>
              </w:r>
            </w:hyperlink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261" w:type="dxa"/>
          </w:tcPr>
          <w:p w:rsidR="00F03081" w:rsidRDefault="00F03081"/>
        </w:tc>
      </w:tr>
      <w:tr w:rsidR="00F03081" w:rsidTr="00F03081">
        <w:tc>
          <w:tcPr>
            <w:tcW w:w="4261" w:type="dxa"/>
          </w:tcPr>
          <w:p w:rsidR="00F03081" w:rsidRPr="00B936A7" w:rsidRDefault="00825EFC" w:rsidP="00B936A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Paziņojumā par iesniegum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 izbūv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i iesniegšanu norāda:</w:t>
            </w:r>
          </w:p>
        </w:tc>
        <w:tc>
          <w:tcPr>
            <w:tcW w:w="4261" w:type="dxa"/>
          </w:tcPr>
          <w:p w:rsidR="00F03081" w:rsidRDefault="00F03081"/>
        </w:tc>
      </w:tr>
      <w:tr w:rsidR="00F03081" w:rsidTr="00F03081">
        <w:tc>
          <w:tcPr>
            <w:tcW w:w="4261" w:type="dxa"/>
          </w:tcPr>
          <w:p w:rsidR="00F03081" w:rsidRPr="00B936A7" w:rsidRDefault="00B936A7" w:rsidP="00B936A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7">
              <w:rPr>
                <w:rFonts w:ascii="Times New Roman" w:hAnsi="Times New Roman" w:cs="Times New Roman"/>
                <w:sz w:val="24"/>
                <w:szCs w:val="24"/>
              </w:rPr>
              <w:t>iesniegumu iesniegšanas beigu termiņu;</w:t>
            </w:r>
          </w:p>
        </w:tc>
        <w:tc>
          <w:tcPr>
            <w:tcW w:w="4261" w:type="dxa"/>
          </w:tcPr>
          <w:p w:rsidR="00F03081" w:rsidRDefault="00F03081"/>
        </w:tc>
      </w:tr>
      <w:tr w:rsidR="00B936A7" w:rsidTr="00F03081">
        <w:tc>
          <w:tcPr>
            <w:tcW w:w="4261" w:type="dxa"/>
          </w:tcPr>
          <w:p w:rsidR="00B936A7" w:rsidRPr="00B936A7" w:rsidRDefault="00B936A7" w:rsidP="00B936A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ind w:left="788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kopējo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pašvaldības līdzfinansējuma apmēru.</w:t>
            </w:r>
          </w:p>
        </w:tc>
        <w:tc>
          <w:tcPr>
            <w:tcW w:w="4261" w:type="dxa"/>
          </w:tcPr>
          <w:p w:rsidR="00B936A7" w:rsidRDefault="00B936A7"/>
        </w:tc>
      </w:tr>
      <w:tr w:rsidR="00B936A7" w:rsidTr="00F03081">
        <w:tc>
          <w:tcPr>
            <w:tcW w:w="4261" w:type="dxa"/>
          </w:tcPr>
          <w:p w:rsidR="00B936A7" w:rsidRDefault="00B936A7" w:rsidP="00E44571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iesniedz SIA „JELGAVAS ŪDENS” šādu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1" w:type="dxa"/>
          </w:tcPr>
          <w:p w:rsidR="00B936A7" w:rsidRDefault="00B936A7"/>
        </w:tc>
      </w:tr>
      <w:tr w:rsidR="00825EFC" w:rsidTr="00F03081">
        <w:tc>
          <w:tcPr>
            <w:tcW w:w="4261" w:type="dxa"/>
          </w:tcPr>
          <w:p w:rsidR="00825EFC" w:rsidRPr="005E0D36" w:rsidRDefault="00E44571" w:rsidP="005E0D36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iesniegumu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vietu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izbūvei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(pielikumā), kas ietver</w:t>
            </w:r>
            <w:r w:rsidR="005E0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1" w:type="dxa"/>
          </w:tcPr>
          <w:p w:rsidR="00825EFC" w:rsidRDefault="00825EFC"/>
        </w:tc>
      </w:tr>
      <w:tr w:rsidR="005E0D36" w:rsidTr="00F03081">
        <w:tc>
          <w:tcPr>
            <w:tcW w:w="4261" w:type="dxa"/>
          </w:tcPr>
          <w:p w:rsidR="005E0D36" w:rsidRPr="005E0D36" w:rsidRDefault="005E0D36" w:rsidP="005E0D36">
            <w:pPr>
              <w:pStyle w:val="ListParagraph"/>
              <w:numPr>
                <w:ilvl w:val="2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apliecinājumu par gatavību piedalīties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izbūves realizācijā ar saviem līdzekļiem norādot vēlamo pašvaldības finansiālās līdzdalības apjomu </w:t>
            </w:r>
            <w:proofErr w:type="spellStart"/>
            <w:r w:rsidRPr="00BF52D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BF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summā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pievienotās vērtības nodokli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un procentos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61" w:type="dxa"/>
          </w:tcPr>
          <w:p w:rsidR="00CF50F8" w:rsidRPr="00CF50F8" w:rsidRDefault="00CF50F8" w:rsidP="00CF5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6.1.1. 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apliecinājumu par gatavību piedalīties ielas kanalizācijas tīklu un pieslēguma vietu izbūves realizācijā ar saviem līdzekļiem norādot vēlamo pašvaldības finansiālās līdzdalības apjomu </w:t>
            </w:r>
            <w:proofErr w:type="spellStart"/>
            <w:r w:rsidRPr="00CF50F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CF5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un procentos (%).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Būvdarbu un būvuzraudzības realizēšanas izmaksas jāaprēķina </w:t>
            </w:r>
            <w:r w:rsidR="00F16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atbilstoši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šo noteikumu 2. punkt</w:t>
            </w:r>
            <w:r w:rsidR="00F16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5E0D36" w:rsidRDefault="005E0D36"/>
        </w:tc>
      </w:tr>
      <w:tr w:rsidR="005E0D36" w:rsidTr="00F03081">
        <w:tc>
          <w:tcPr>
            <w:tcW w:w="4261" w:type="dxa"/>
          </w:tcPr>
          <w:p w:rsidR="005E0D36" w:rsidRPr="005E0D36" w:rsidRDefault="005E0D36" w:rsidP="005E0D36">
            <w:pPr>
              <w:pStyle w:val="ListParagraph"/>
              <w:numPr>
                <w:ilvl w:val="2"/>
                <w:numId w:val="7"/>
              </w:numPr>
              <w:spacing w:before="100" w:beforeAutospacing="1" w:after="100" w:afterAutospacing="1"/>
              <w:ind w:left="144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projekta ietvaros plānoto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vietu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skaitu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 Tehnisko projektu;</w:t>
            </w:r>
          </w:p>
        </w:tc>
        <w:tc>
          <w:tcPr>
            <w:tcW w:w="4261" w:type="dxa"/>
          </w:tcPr>
          <w:p w:rsidR="00CF50F8" w:rsidRPr="00CF50F8" w:rsidRDefault="00CF50F8" w:rsidP="00CF5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6.1.2. 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projekta ietvaros plānoto pieslēguma izbūves vietu skaitu saskaņā ar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Būvprojektu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D36" w:rsidRDefault="005E0D36"/>
        </w:tc>
      </w:tr>
      <w:tr w:rsidR="005E0D36" w:rsidTr="00F03081">
        <w:tc>
          <w:tcPr>
            <w:tcW w:w="4261" w:type="dxa"/>
          </w:tcPr>
          <w:p w:rsidR="005E0D36" w:rsidRPr="005E0D36" w:rsidRDefault="005E0D36" w:rsidP="005E0D36">
            <w:pPr>
              <w:pStyle w:val="ListParagraph"/>
              <w:numPr>
                <w:ilvl w:val="2"/>
                <w:numId w:val="7"/>
              </w:numPr>
              <w:spacing w:before="100" w:beforeAutospacing="1" w:after="100" w:afterAutospacing="1"/>
              <w:ind w:left="144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apliecinājumu, ka 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izbūves autoruzraudzību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odrošina Iesniedzējs.</w:t>
            </w:r>
          </w:p>
        </w:tc>
        <w:tc>
          <w:tcPr>
            <w:tcW w:w="4261" w:type="dxa"/>
          </w:tcPr>
          <w:p w:rsidR="005E0D36" w:rsidRDefault="005E0D36"/>
        </w:tc>
      </w:tr>
      <w:tr w:rsidR="00825EFC" w:rsidTr="00F03081">
        <w:tc>
          <w:tcPr>
            <w:tcW w:w="4261" w:type="dxa"/>
          </w:tcPr>
          <w:p w:rsidR="00825EFC" w:rsidRPr="005E0D36" w:rsidRDefault="00E44571" w:rsidP="005E0D36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spēkā esošu Tehniskā projekta oriģinālu. Tehniskais projekts ir iesniedzams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papīra formā un elektroniska dokumenta veidā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Elektroniskajiem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dokumentiem ir jābūt noformētiem MS WORD formātā – paskaidrojuma raksts, MS EXCEL – darbu un materiālu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specifikācija. Tehniskā projekta rasējumi var būt gan</w:t>
            </w:r>
            <w:proofErr w:type="gramStart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proofErr w:type="spellEnd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, gan arī .</w:t>
            </w:r>
            <w:proofErr w:type="spellStart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failu formātos;</w:t>
            </w:r>
          </w:p>
        </w:tc>
        <w:tc>
          <w:tcPr>
            <w:tcW w:w="4261" w:type="dxa"/>
          </w:tcPr>
          <w:p w:rsidR="00CF50F8" w:rsidRPr="00CF50F8" w:rsidRDefault="00CF50F8" w:rsidP="00CF50F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6.2. 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spēkā esošu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Būvprojekta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oriģinālu</w:t>
            </w:r>
            <w:r w:rsidR="001E00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tikai par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ielas kanalizācijas tīkla un pievadu no ielas tīkla līdz ielas sarkanajai līnijai vai zemes īpašumu robežām izbūvei. Būvprojekts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jāiesniedz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 papīra formā un elektroniska dokumenta veidā. Elektroniskajiem dokumentiem ir jābūt noformētiem MS WORD formātā – 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paskaidrojuma raksts, MS EXCEL – darbu un materiālu specifikācija. </w:t>
            </w:r>
            <w:r w:rsidRPr="00CF5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Būvprojekta</w:t>
            </w:r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 rasējumi var būt gan </w:t>
            </w:r>
            <w:proofErr w:type="spellStart"/>
            <w:r w:rsidRPr="00CF50F8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proofErr w:type="spellEnd"/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, gan arī </w:t>
            </w:r>
            <w:proofErr w:type="spellStart"/>
            <w:r w:rsidRPr="00CF50F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F50F8">
              <w:rPr>
                <w:rFonts w:ascii="Times New Roman" w:hAnsi="Times New Roman" w:cs="Times New Roman"/>
                <w:sz w:val="24"/>
                <w:szCs w:val="24"/>
              </w:rPr>
              <w:t xml:space="preserve"> failu formātos;</w:t>
            </w:r>
          </w:p>
          <w:p w:rsidR="00825EFC" w:rsidRDefault="00825EFC"/>
        </w:tc>
      </w:tr>
      <w:tr w:rsidR="00825EFC" w:rsidTr="00F03081">
        <w:tc>
          <w:tcPr>
            <w:tcW w:w="4261" w:type="dxa"/>
          </w:tcPr>
          <w:p w:rsidR="00825EFC" w:rsidRPr="005E0D36" w:rsidRDefault="004D4560" w:rsidP="005E0D36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plānoto darbu izmaksu tāmi, kas sastādīta ne agrāk kā 12 mēnešus pirms iesnieguma iesniegšanas beigu termiņa. Plānoto darbu izmaksu tāmē jābūt iekļautām arī būvuzraudzības izmaksām. Plānoto darbu izmaksu tāme iesniedzama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papīra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formā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elektroniski MS EXCEL failu formātā.</w:t>
            </w:r>
          </w:p>
        </w:tc>
        <w:tc>
          <w:tcPr>
            <w:tcW w:w="4261" w:type="dxa"/>
          </w:tcPr>
          <w:p w:rsidR="00825EFC" w:rsidRDefault="00825EFC"/>
        </w:tc>
      </w:tr>
      <w:tr w:rsidR="00825EFC" w:rsidTr="00F03081">
        <w:tc>
          <w:tcPr>
            <w:tcW w:w="4261" w:type="dxa"/>
          </w:tcPr>
          <w:p w:rsidR="00825EFC" w:rsidRPr="005E0D36" w:rsidRDefault="004A19A6" w:rsidP="005E0D36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Iesniegtos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dokumentus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izvērtē komisija, kuras sastāvā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iekļauts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pašvaldības pārstāvis.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omisijai ir tiesības nepieciešamības gadījumā pieprasīt papildus informāciju.</w:t>
            </w:r>
          </w:p>
        </w:tc>
        <w:tc>
          <w:tcPr>
            <w:tcW w:w="4261" w:type="dxa"/>
          </w:tcPr>
          <w:p w:rsidR="00DD7C89" w:rsidRPr="00DD7C89" w:rsidRDefault="00DD7C89" w:rsidP="00DD7C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DD7C89">
              <w:rPr>
                <w:rFonts w:ascii="Times New Roman" w:hAnsi="Times New Roman" w:cs="Times New Roman"/>
                <w:sz w:val="24"/>
                <w:szCs w:val="24"/>
              </w:rPr>
              <w:t xml:space="preserve">Iesniegtos dokumentus izvērtē komisija, </w:t>
            </w:r>
            <w:r w:rsidRPr="00DD7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kuru </w:t>
            </w:r>
            <w:r w:rsidR="00F16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izveido</w:t>
            </w:r>
            <w:r w:rsidRPr="00DD7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SIA „JELGAVAS ŪDENS” </w:t>
            </w:r>
            <w:r w:rsidRPr="00DD7C89">
              <w:rPr>
                <w:rFonts w:ascii="Times New Roman" w:hAnsi="Times New Roman" w:cs="Times New Roman"/>
                <w:sz w:val="24"/>
                <w:szCs w:val="24"/>
              </w:rPr>
              <w:t>un kuras sastāvā iekļauts pašvaldības pārstāvis. Komisijai ir tiesības nepieciešamības gadījumā pieprasīt papildus informāciju.</w:t>
            </w:r>
          </w:p>
          <w:p w:rsidR="00825EFC" w:rsidRDefault="00825EFC"/>
        </w:tc>
      </w:tr>
      <w:tr w:rsidR="00825EFC" w:rsidTr="00F03081">
        <w:tc>
          <w:tcPr>
            <w:tcW w:w="4261" w:type="dxa"/>
          </w:tcPr>
          <w:p w:rsidR="00825EFC" w:rsidRPr="005E0D36" w:rsidRDefault="004A19A6" w:rsidP="005E0D36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>Komisija veic iesniegumu izvērtēšanu sagatavo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jot</w:t>
            </w: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 xml:space="preserve"> iesniegumu sarakstu prioritārā secībā pēc sekojoša kritērija: vismazākais pašvaldības līdzfinansējuma apjoms uz 1 (vienu) plānoto pieslēgum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vietu</w:t>
            </w:r>
            <w:r w:rsidRPr="00A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pieņem lēmumu par pašvaldības līdzfinansējuma piešķiršanu.</w:t>
            </w:r>
          </w:p>
        </w:tc>
        <w:tc>
          <w:tcPr>
            <w:tcW w:w="4261" w:type="dxa"/>
          </w:tcPr>
          <w:p w:rsidR="00825EFC" w:rsidRDefault="00825EFC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Uzaicinājums līguma par līdzdalību ielas kanalizācijas tīklu un pieslēguma vietu izbūvi noslēgšanai tiek publicēts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SIA „JELGAVAS ŪDENS”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10" w:history="1">
              <w:r w:rsidRPr="00B01B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www.ju.lv</w:t>
              </w:r>
            </w:hyperlink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Iesniedzējam divu nedēļu laikā no publikācijas ir jānoslēdz līgums un jāiemaksā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SIA „JELGAVAS ŪDENS” kontā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naudas līdzekļi līdzfinansētās daļas pilnā apmērā.</w:t>
            </w:r>
          </w:p>
        </w:tc>
        <w:tc>
          <w:tcPr>
            <w:tcW w:w="4261" w:type="dxa"/>
          </w:tcPr>
          <w:p w:rsidR="00DF26A2" w:rsidRPr="00DF26A2" w:rsidRDefault="00DF26A2" w:rsidP="00DF26A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DF26A2">
              <w:rPr>
                <w:rFonts w:ascii="Times New Roman" w:hAnsi="Times New Roman" w:cs="Times New Roman"/>
                <w:sz w:val="24"/>
                <w:szCs w:val="24"/>
              </w:rPr>
              <w:t>Uzaicinājums līguma par līdzdalību ielas kanalizācijas tīklu un pieslēguma vietu izbūvi noslēgšanai tiek publicēts SIA „JELGAVAS ŪDENS” interneta mājas lapā (</w:t>
            </w:r>
            <w:hyperlink r:id="rId11" w:history="1">
              <w:r w:rsidRPr="00DF26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www.ju.lv</w:t>
              </w:r>
            </w:hyperlink>
            <w:r w:rsidRPr="00DF26A2">
              <w:rPr>
                <w:rFonts w:ascii="Times New Roman" w:hAnsi="Times New Roman" w:cs="Times New Roman"/>
                <w:sz w:val="24"/>
                <w:szCs w:val="24"/>
              </w:rPr>
              <w:t xml:space="preserve">). Iesniedzējam </w:t>
            </w:r>
            <w:r w:rsidRPr="00DF2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vienas nedēļas laikā </w:t>
            </w:r>
            <w:r w:rsidRPr="006A2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 </w:t>
            </w:r>
            <w:r w:rsidR="006A2480" w:rsidRPr="006A2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uzaicinājuma </w:t>
            </w:r>
            <w:r w:rsidRPr="006A2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</w:t>
            </w:r>
            <w:r w:rsidR="006A2480" w:rsidRPr="006A2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cēšanas</w:t>
            </w:r>
            <w:r w:rsidRPr="00DF26A2">
              <w:rPr>
                <w:rFonts w:ascii="Times New Roman" w:hAnsi="Times New Roman" w:cs="Times New Roman"/>
                <w:sz w:val="24"/>
                <w:szCs w:val="24"/>
              </w:rPr>
              <w:t xml:space="preserve"> ir jānoslēdz līgums un </w:t>
            </w:r>
            <w:r w:rsidRPr="00DF2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divu nedēļu laikā no līguma noslēgšanas dienas </w:t>
            </w:r>
            <w:r w:rsidRPr="00DF26A2">
              <w:rPr>
                <w:rFonts w:ascii="Times New Roman" w:hAnsi="Times New Roman" w:cs="Times New Roman"/>
                <w:sz w:val="24"/>
                <w:szCs w:val="24"/>
              </w:rPr>
              <w:t>jāiemaksā SIA „JELGAVAS ŪDENS” kontā naudas līdzekļi līdzfinansētās daļas pilnā apmērā.</w:t>
            </w:r>
          </w:p>
          <w:p w:rsidR="004A19A6" w:rsidRDefault="004A19A6"/>
        </w:tc>
      </w:tr>
      <w:tr w:rsidR="004A19A6" w:rsidTr="00F03081">
        <w:tc>
          <w:tcPr>
            <w:tcW w:w="4261" w:type="dxa"/>
          </w:tcPr>
          <w:p w:rsidR="004A19A6" w:rsidRPr="00F86C44" w:rsidRDefault="004A19A6" w:rsidP="00F86C44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 izvēlas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nākam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iesniegum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piešķirtā 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līdzfinansējuma budžeta ietvaros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 :</w:t>
            </w:r>
          </w:p>
        </w:tc>
        <w:tc>
          <w:tcPr>
            <w:tcW w:w="4261" w:type="dxa"/>
          </w:tcPr>
          <w:p w:rsidR="004A19A6" w:rsidRDefault="004A19A6"/>
        </w:tc>
      </w:tr>
      <w:tr w:rsidR="00F86C44" w:rsidTr="00F03081">
        <w:tc>
          <w:tcPr>
            <w:tcW w:w="4261" w:type="dxa"/>
          </w:tcPr>
          <w:p w:rsidR="00F86C44" w:rsidRPr="00F86C44" w:rsidRDefault="00F86C44" w:rsidP="00F86C44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esniedzējs atsakās no iesnieguma realizācijas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</w:p>
        </w:tc>
        <w:tc>
          <w:tcPr>
            <w:tcW w:w="4261" w:type="dxa"/>
          </w:tcPr>
          <w:p w:rsidR="00F86C44" w:rsidRDefault="00F86C44"/>
        </w:tc>
      </w:tr>
      <w:tr w:rsidR="00F86C44" w:rsidTr="00F03081">
        <w:tc>
          <w:tcPr>
            <w:tcW w:w="4261" w:type="dxa"/>
          </w:tcPr>
          <w:p w:rsidR="00F86C44" w:rsidRPr="00F86C44" w:rsidRDefault="00F86C44" w:rsidP="00F86C44">
            <w:pPr>
              <w:pStyle w:val="ListParagraph"/>
              <w:numPr>
                <w:ilvl w:val="1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C44">
              <w:rPr>
                <w:rFonts w:ascii="Times New Roman" w:hAnsi="Times New Roman" w:cs="Times New Roman"/>
                <w:sz w:val="24"/>
                <w:szCs w:val="24"/>
              </w:rPr>
              <w:t>Iesniedzējs 9.punkta noteiktā kārtībā nav noslēdzis līgumu ar SIA „JELGAVAS ŪDENS” un SIA „JELGAVAS ŪDENS” kontā nav iemaksājis naudas līdzekļus līdzfinansētās daļas pilnā apmērā.</w:t>
            </w:r>
          </w:p>
        </w:tc>
        <w:tc>
          <w:tcPr>
            <w:tcW w:w="4261" w:type="dxa"/>
          </w:tcPr>
          <w:p w:rsidR="00682866" w:rsidRPr="00682866" w:rsidRDefault="00682866" w:rsidP="006828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10.2. </w:t>
            </w: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Iesniedzējs 9.punkta noteiktā kārtībā nav noslēdzis līgumu ar SIA „JELGAVAS ŪDENS” un</w:t>
            </w:r>
            <w:r w:rsidRPr="00682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/vai </w:t>
            </w: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SIA „JELGAVAS ŪDENS” kontā nav iemaksājis naudas līdzekļus, līdzfinansētās daļas pilnā apmērā.</w:t>
            </w:r>
          </w:p>
          <w:p w:rsidR="00F86C44" w:rsidRDefault="00F86C44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1"/>
                <w:numId w:val="4"/>
              </w:numPr>
              <w:tabs>
                <w:tab w:val="clear" w:pos="1420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>Iepirkuma procedūru par ielas kanalizācijas tīklu un pieslēguma viet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 xml:space="preserve"> izbūvi un būvuzraudzību organizē SIA „JELGAVAS ŪDENS”, iepirkuma komisijā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iekļaujot</w:t>
            </w: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Iesniedzēja </w:t>
            </w:r>
            <w:r w:rsidRPr="002B3E62">
              <w:rPr>
                <w:rFonts w:ascii="Times New Roman" w:hAnsi="Times New Roman" w:cs="Times New Roman"/>
                <w:sz w:val="24"/>
                <w:szCs w:val="24"/>
              </w:rPr>
              <w:t xml:space="preserve">pārstāvi. </w:t>
            </w:r>
          </w:p>
        </w:tc>
        <w:tc>
          <w:tcPr>
            <w:tcW w:w="4261" w:type="dxa"/>
          </w:tcPr>
          <w:p w:rsidR="004A19A6" w:rsidRDefault="004A19A6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1"/>
                <w:numId w:val="4"/>
              </w:numPr>
              <w:tabs>
                <w:tab w:val="clear" w:pos="1420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izbūvi uzsāk pēc līguma starp SIA „JELGAVAS ŪDENS”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esniedzēja parakstīšanas, ar nosacījumu, 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esniedzējs ir iemaksājis SIA „JELGAVAS ŪDENS” kontā naudas līdzekļus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esniedzēja līdzfinansētās daļas pilnā apmērā.</w:t>
            </w:r>
          </w:p>
        </w:tc>
        <w:tc>
          <w:tcPr>
            <w:tcW w:w="4261" w:type="dxa"/>
          </w:tcPr>
          <w:p w:rsidR="00682866" w:rsidRPr="00682866" w:rsidRDefault="00682866" w:rsidP="006828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 xml:space="preserve">Ielas kanalizācijas tīklu un pieslēguma vietu izbūvi uzsāk pēc līguma starp SIA „JELGAVAS ŪDENS” un Iesniedzēja vai viņa </w:t>
            </w:r>
            <w:r w:rsidR="00AC201D" w:rsidRPr="00AC2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pilnvarota</w:t>
            </w:r>
            <w:r w:rsidR="00AC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pārstāvja </w:t>
            </w:r>
            <w:r w:rsidR="00AC201D" w:rsidRPr="00AC201D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rakstīšanas, ar nosacījumu, ka Iesniedzējs ir iemaksājis SIA „JELGAVAS ŪDENS” kontā naudas līdzekļus Iesniedzēja līdzfinansētās daļas pilnā apmērā.</w:t>
            </w:r>
          </w:p>
          <w:p w:rsidR="004A19A6" w:rsidRDefault="004A19A6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1"/>
                <w:numId w:val="4"/>
              </w:numPr>
              <w:tabs>
                <w:tab w:val="clear" w:pos="1420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Gadījumā, ja būvdarbu un būvuzraudzības iepirkuma rezultātā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 izbūves izmaksas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ir zemākas, kādas tika aprēķinātas darbu izmaksu tāmē, SIA „JELGAVAS ŪDENS” veic pašvaldības un iesnieguma iesniedz</w:t>
            </w:r>
            <w:r w:rsidR="005E0D36">
              <w:rPr>
                <w:rFonts w:ascii="Times New Roman" w:hAnsi="Times New Roman" w:cs="Times New Roman"/>
                <w:sz w:val="24"/>
                <w:szCs w:val="24"/>
              </w:rPr>
              <w:t>ēja līdzfinansējuma pārrēķinu.</w:t>
            </w:r>
          </w:p>
        </w:tc>
        <w:tc>
          <w:tcPr>
            <w:tcW w:w="4261" w:type="dxa"/>
          </w:tcPr>
          <w:p w:rsidR="004A19A6" w:rsidRDefault="004A19A6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1"/>
                <w:numId w:val="4"/>
              </w:numPr>
              <w:tabs>
                <w:tab w:val="clear" w:pos="1420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Gadījumā, ja būvdarbu un būvuzraudzības iepirkuma rezultātā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 izbūves izmaksas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ir augstākas, kādas tika aprēķinātas darbu izmaksu tāmē,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Iesniedzējs sedz būvdarbu un būvuzraudzības sadārdzinājuma starpību. Ša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jā gadījumā pašvaldības līdzfinansējuma apjoms netiek palielināts.</w:t>
            </w:r>
          </w:p>
        </w:tc>
        <w:tc>
          <w:tcPr>
            <w:tcW w:w="4261" w:type="dxa"/>
          </w:tcPr>
          <w:p w:rsidR="004A19A6" w:rsidRDefault="004A19A6"/>
        </w:tc>
      </w:tr>
      <w:tr w:rsidR="004A19A6" w:rsidTr="00F03081">
        <w:tc>
          <w:tcPr>
            <w:tcW w:w="4261" w:type="dxa"/>
          </w:tcPr>
          <w:p w:rsidR="004A19A6" w:rsidRPr="005E0D36" w:rsidRDefault="004A19A6" w:rsidP="005E0D36">
            <w:pPr>
              <w:pStyle w:val="ListParagraph"/>
              <w:numPr>
                <w:ilvl w:val="0"/>
                <w:numId w:val="6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Iesniegumi par ielas kanalizācijas tīklu un pieslēgum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vietu</w:t>
            </w:r>
            <w:r w:rsidRPr="00EB077B">
              <w:rPr>
                <w:rFonts w:ascii="Times New Roman" w:hAnsi="Times New Roman" w:cs="Times New Roman"/>
                <w:sz w:val="24"/>
                <w:szCs w:val="24"/>
              </w:rPr>
              <w:t xml:space="preserve"> izbūvi, kas netiek atbalstīti pašvaldības līdzfinansējuma saņemšanai, iesniedzami no jauna saskaņā ar šajos noteikumos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noteikto kārtību pēc p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aziņojum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par iesniegum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ielas kanalizācijas tīklu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pieslēguma vietu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izbūvei publicē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šanas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vietējā laikrakstā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„Jelgavas Vēstnesis”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, pašvaldības 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12" w:history="1">
              <w:r w:rsidRPr="00B01B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www.jelgava.lv</w:t>
              </w:r>
            </w:hyperlink>
            <w:r w:rsidRPr="00B01B83">
              <w:rPr>
                <w:rFonts w:ascii="Times New Roman" w:hAnsi="Times New Roman" w:cs="Times New Roman"/>
                <w:sz w:val="24"/>
                <w:szCs w:val="24"/>
              </w:rPr>
              <w:t>) un SIA „JELGAVAS ŪDENS” 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13" w:history="1">
              <w:r w:rsidRPr="00B01B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www.ju.lv</w:t>
              </w:r>
            </w:hyperlink>
            <w:r w:rsidRPr="00B01B8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261" w:type="dxa"/>
          </w:tcPr>
          <w:p w:rsidR="00331C2D" w:rsidRPr="00331C2D" w:rsidRDefault="00331C2D" w:rsidP="00331C2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Pr="00331C2D">
              <w:rPr>
                <w:rFonts w:ascii="Times New Roman" w:hAnsi="Times New Roman" w:cs="Times New Roman"/>
                <w:sz w:val="24"/>
                <w:szCs w:val="24"/>
              </w:rPr>
              <w:t xml:space="preserve">Iesniegumi par ielas kanalizācijas tīklu un pieslēguma vietu izbūvi, kas netiek atbalstīti pašvaldības līdzfinansējuma saņemšanai, </w:t>
            </w:r>
            <w:r w:rsidRPr="00331C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jā</w:t>
            </w:r>
            <w:r w:rsidRPr="00331C2D">
              <w:rPr>
                <w:rFonts w:ascii="Times New Roman" w:hAnsi="Times New Roman" w:cs="Times New Roman"/>
                <w:sz w:val="24"/>
                <w:szCs w:val="24"/>
              </w:rPr>
              <w:t>iesniedz no jauna saskaņā ar šajos noteikumos noteikto kārtību pēc paziņojuma par iesnieguma ielas kanalizācijas tīklu un pieslēguma vietu izbūvei publicēšanas vietējā laikrakstā „Jelgavas Vēstnesis”, pašvaldības interneta mājas lapā (</w:t>
            </w:r>
            <w:hyperlink r:id="rId14" w:history="1">
              <w:r w:rsidRPr="00331C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www.jelgava.lv</w:t>
              </w:r>
            </w:hyperlink>
            <w:r w:rsidRPr="00331C2D">
              <w:rPr>
                <w:rFonts w:ascii="Times New Roman" w:hAnsi="Times New Roman" w:cs="Times New Roman"/>
                <w:sz w:val="24"/>
                <w:szCs w:val="24"/>
              </w:rPr>
              <w:t>) un SIA „JELGAVAS ŪDENS” interneta mājas lapā (</w:t>
            </w:r>
            <w:hyperlink r:id="rId15" w:history="1">
              <w:r w:rsidRPr="00331C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www.ju.lv</w:t>
              </w:r>
            </w:hyperlink>
            <w:r w:rsidRPr="00331C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A19A6" w:rsidRDefault="004A19A6"/>
        </w:tc>
      </w:tr>
    </w:tbl>
    <w:p w:rsidR="00456F51" w:rsidRDefault="00456F51"/>
    <w:sectPr w:rsidR="00456F51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75" w:rsidRDefault="003E5575" w:rsidP="00CA6EE9">
      <w:pPr>
        <w:spacing w:after="0" w:line="240" w:lineRule="auto"/>
      </w:pPr>
      <w:r>
        <w:separator/>
      </w:r>
    </w:p>
  </w:endnote>
  <w:endnote w:type="continuationSeparator" w:id="0">
    <w:p w:rsidR="003E5575" w:rsidRDefault="003E5575" w:rsidP="00CA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75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EE9" w:rsidRDefault="00CA6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EE9" w:rsidRDefault="00CA6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75" w:rsidRDefault="003E5575" w:rsidP="00CA6EE9">
      <w:pPr>
        <w:spacing w:after="0" w:line="240" w:lineRule="auto"/>
      </w:pPr>
      <w:r>
        <w:separator/>
      </w:r>
    </w:p>
  </w:footnote>
  <w:footnote w:type="continuationSeparator" w:id="0">
    <w:p w:rsidR="003E5575" w:rsidRDefault="003E5575" w:rsidP="00CA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B12"/>
    <w:multiLevelType w:val="hybridMultilevel"/>
    <w:tmpl w:val="4A8E7D64"/>
    <w:lvl w:ilvl="0" w:tplc="FC9458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87266">
      <w:start w:val="1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062F"/>
    <w:multiLevelType w:val="multilevel"/>
    <w:tmpl w:val="607CFA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2024AF"/>
    <w:multiLevelType w:val="multilevel"/>
    <w:tmpl w:val="C78A9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68C2028"/>
    <w:multiLevelType w:val="multilevel"/>
    <w:tmpl w:val="C78A9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DC3450A"/>
    <w:multiLevelType w:val="multilevel"/>
    <w:tmpl w:val="607CFA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E8E142D"/>
    <w:multiLevelType w:val="hybridMultilevel"/>
    <w:tmpl w:val="8834AC3A"/>
    <w:lvl w:ilvl="0" w:tplc="4CEA1A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81779"/>
    <w:multiLevelType w:val="multilevel"/>
    <w:tmpl w:val="607CFA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A35161"/>
    <w:multiLevelType w:val="multilevel"/>
    <w:tmpl w:val="754C50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F1E6573"/>
    <w:multiLevelType w:val="multilevel"/>
    <w:tmpl w:val="754C50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81"/>
    <w:rsid w:val="000120CC"/>
    <w:rsid w:val="00041DE0"/>
    <w:rsid w:val="001E0082"/>
    <w:rsid w:val="002B48D7"/>
    <w:rsid w:val="00331C2D"/>
    <w:rsid w:val="003E5575"/>
    <w:rsid w:val="00456F51"/>
    <w:rsid w:val="004A19A6"/>
    <w:rsid w:val="004D4560"/>
    <w:rsid w:val="005747B3"/>
    <w:rsid w:val="005E0D36"/>
    <w:rsid w:val="00682866"/>
    <w:rsid w:val="006A2480"/>
    <w:rsid w:val="007019F1"/>
    <w:rsid w:val="00722901"/>
    <w:rsid w:val="007C1FCA"/>
    <w:rsid w:val="00825EFC"/>
    <w:rsid w:val="00AC201D"/>
    <w:rsid w:val="00B936A7"/>
    <w:rsid w:val="00CA6EE9"/>
    <w:rsid w:val="00CF50F8"/>
    <w:rsid w:val="00DD7C89"/>
    <w:rsid w:val="00DF26A2"/>
    <w:rsid w:val="00E42CFD"/>
    <w:rsid w:val="00E44571"/>
    <w:rsid w:val="00ED270A"/>
    <w:rsid w:val="00F03081"/>
    <w:rsid w:val="00F16D04"/>
    <w:rsid w:val="00F86C44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25EFC"/>
    <w:pPr>
      <w:ind w:left="720"/>
    </w:pPr>
    <w:rPr>
      <w:rFonts w:ascii="Calibri" w:eastAsia="Calibri" w:hAnsi="Calibri" w:cs="Calibri"/>
    </w:rPr>
  </w:style>
  <w:style w:type="character" w:styleId="Hyperlink">
    <w:name w:val="Hyperlink"/>
    <w:rsid w:val="00825E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E9"/>
  </w:style>
  <w:style w:type="paragraph" w:styleId="Footer">
    <w:name w:val="footer"/>
    <w:basedOn w:val="Normal"/>
    <w:link w:val="FooterChar"/>
    <w:uiPriority w:val="99"/>
    <w:unhideWhenUsed/>
    <w:rsid w:val="00CA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25EFC"/>
    <w:pPr>
      <w:ind w:left="720"/>
    </w:pPr>
    <w:rPr>
      <w:rFonts w:ascii="Calibri" w:eastAsia="Calibri" w:hAnsi="Calibri" w:cs="Calibri"/>
    </w:rPr>
  </w:style>
  <w:style w:type="character" w:styleId="Hyperlink">
    <w:name w:val="Hyperlink"/>
    <w:rsid w:val="00825E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E9"/>
  </w:style>
  <w:style w:type="paragraph" w:styleId="Footer">
    <w:name w:val="footer"/>
    <w:basedOn w:val="Normal"/>
    <w:link w:val="FooterChar"/>
    <w:uiPriority w:val="99"/>
    <w:unhideWhenUsed/>
    <w:rsid w:val="00CA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hyperlink" Target="http://www.ju.l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elgava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.lv" TargetMode="External"/><Relationship Id="rId10" Type="http://schemas.openxmlformats.org/officeDocument/2006/relationships/hyperlink" Target="http://www.j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.lv" TargetMode="External"/><Relationship Id="rId14" Type="http://schemas.openxmlformats.org/officeDocument/2006/relationships/hyperlink" Target="http://www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Umbraška</dc:creator>
  <cp:lastModifiedBy>Ruta Krastenberga</cp:lastModifiedBy>
  <cp:revision>4</cp:revision>
  <cp:lastPrinted>2015-02-13T07:10:00Z</cp:lastPrinted>
  <dcterms:created xsi:type="dcterms:W3CDTF">2015-02-10T13:48:00Z</dcterms:created>
  <dcterms:modified xsi:type="dcterms:W3CDTF">2015-02-13T07:12:00Z</dcterms:modified>
</cp:coreProperties>
</file>