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8" w:rsidRDefault="00E628F3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 </w:t>
      </w:r>
      <w:r w:rsidR="0016506E">
        <w:rPr>
          <w:b/>
          <w:bCs/>
          <w:szCs w:val="44"/>
        </w:rPr>
        <w:t>JELGAVAS PILSĒTAS PAŠVALDĪB</w:t>
      </w:r>
      <w:r w:rsidR="005229AF">
        <w:rPr>
          <w:b/>
          <w:bCs/>
          <w:szCs w:val="44"/>
        </w:rPr>
        <w:t>AS 2015.GADA 24.SEPTEM</w:t>
      </w:r>
      <w:r w:rsidR="000E2A70">
        <w:rPr>
          <w:b/>
          <w:bCs/>
          <w:szCs w:val="44"/>
        </w:rPr>
        <w:t xml:space="preserve">BRA </w:t>
      </w:r>
    </w:p>
    <w:p w:rsidR="00F534E8" w:rsidRDefault="000E2A70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</w:t>
      </w:r>
      <w:r w:rsidR="0016506E">
        <w:rPr>
          <w:b/>
          <w:bCs/>
          <w:szCs w:val="44"/>
        </w:rPr>
        <w:t xml:space="preserve"> NR.</w:t>
      </w:r>
      <w:r w:rsidR="00341D95">
        <w:rPr>
          <w:b/>
          <w:bCs/>
          <w:szCs w:val="44"/>
        </w:rPr>
        <w:t>15-17</w:t>
      </w:r>
      <w:r w:rsidR="0016506E">
        <w:rPr>
          <w:b/>
          <w:bCs/>
          <w:szCs w:val="44"/>
        </w:rPr>
        <w:t xml:space="preserve"> </w:t>
      </w:r>
    </w:p>
    <w:p w:rsidR="0016506E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0E2A70">
        <w:rPr>
          <w:b/>
          <w:bCs/>
        </w:rPr>
        <w:t>JELGAVA</w:t>
      </w:r>
      <w:r w:rsidR="00F9136D">
        <w:rPr>
          <w:b/>
          <w:bCs/>
        </w:rPr>
        <w:t>S PILSĒTAS PAŠVALDĪBAS PALĪDZĪBA</w:t>
      </w:r>
      <w:r w:rsidR="000E2A70">
        <w:rPr>
          <w:b/>
          <w:bCs/>
        </w:rPr>
        <w:t xml:space="preserve"> AUDŽUĢIMENĒM</w:t>
      </w:r>
      <w:r>
        <w:rPr>
          <w:b/>
          <w:bCs/>
        </w:rPr>
        <w:t xml:space="preserve">” </w:t>
      </w:r>
    </w:p>
    <w:p w:rsidR="00D9238B" w:rsidRPr="00CE3D45" w:rsidRDefault="002C011B" w:rsidP="00CE3D45">
      <w:pPr>
        <w:jc w:val="center"/>
        <w:rPr>
          <w:b/>
        </w:rPr>
      </w:pPr>
      <w:r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F534E8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F534E8">
        <w:tc>
          <w:tcPr>
            <w:tcW w:w="2988" w:type="dxa"/>
          </w:tcPr>
          <w:p w:rsidR="00F67430" w:rsidRPr="00D1655B" w:rsidRDefault="00F67430" w:rsidP="007D7CDE">
            <w:r w:rsidRPr="00D1655B">
              <w:t>1. Īss projekta satura izklāsts</w:t>
            </w:r>
          </w:p>
        </w:tc>
        <w:tc>
          <w:tcPr>
            <w:tcW w:w="6192" w:type="dxa"/>
          </w:tcPr>
          <w:p w:rsidR="00DF2CDD" w:rsidRPr="00D1655B" w:rsidRDefault="000E2A70" w:rsidP="0005328B">
            <w:pPr>
              <w:jc w:val="both"/>
              <w:rPr>
                <w:iCs/>
              </w:rPr>
            </w:pPr>
            <w:r w:rsidRPr="00D1655B">
              <w:t xml:space="preserve">Jelgavas pilsētas pašvaldības </w:t>
            </w:r>
            <w:r w:rsidR="005229AF">
              <w:t>2015.gada 24.septem</w:t>
            </w:r>
            <w:r w:rsidR="006858AF" w:rsidRPr="00D1655B">
              <w:t xml:space="preserve">bra </w:t>
            </w:r>
            <w:r w:rsidRPr="00D1655B">
              <w:t>s</w:t>
            </w:r>
            <w:r w:rsidR="00F9136D" w:rsidRPr="00D1655B">
              <w:t>aistošie noteikumi</w:t>
            </w:r>
            <w:r w:rsidR="00DF2CDD" w:rsidRPr="00D1655B">
              <w:rPr>
                <w:iCs/>
              </w:rPr>
              <w:t xml:space="preserve"> </w:t>
            </w:r>
            <w:r w:rsidR="006858AF" w:rsidRPr="00D1655B">
              <w:rPr>
                <w:iCs/>
              </w:rPr>
              <w:t>Nr.</w:t>
            </w:r>
            <w:r w:rsidR="00F87B87">
              <w:rPr>
                <w:iCs/>
              </w:rPr>
              <w:t>15-17</w:t>
            </w:r>
            <w:bookmarkStart w:id="0" w:name="_GoBack"/>
            <w:bookmarkEnd w:id="0"/>
            <w:r w:rsidR="006858AF" w:rsidRPr="00D1655B">
              <w:rPr>
                <w:iCs/>
              </w:rPr>
              <w:t xml:space="preserve"> </w:t>
            </w:r>
            <w:r w:rsidR="00DF2CDD" w:rsidRPr="00D1655B">
              <w:t>„Jelgavas pilsētas pašvaldības palīdzība audžuģimen</w:t>
            </w:r>
            <w:r w:rsidR="006858AF" w:rsidRPr="00D1655B">
              <w:t xml:space="preserve">ēm” (turpmāk – noteikumi) tiek </w:t>
            </w:r>
            <w:r w:rsidR="00DF2CDD" w:rsidRPr="00D1655B">
              <w:t>i</w:t>
            </w:r>
            <w:r w:rsidR="00DF2CDD" w:rsidRPr="00D1655B">
              <w:rPr>
                <w:iCs/>
              </w:rPr>
              <w:t>zdoti saskaņā ar Sociālo pakalpojumu un sociālās palīdzības likuma 35.panta ceturto daļu, likuma „</w:t>
            </w:r>
            <w:hyperlink r:id="rId9" w:tgtFrame="_blank" w:history="1">
              <w:r w:rsidR="00DF2CDD" w:rsidRPr="00D1655B">
                <w:rPr>
                  <w:iCs/>
                </w:rPr>
                <w:t>Par pašvaldībām</w:t>
              </w:r>
            </w:hyperlink>
            <w:r w:rsidR="00DF2CDD" w:rsidRPr="00D1655B">
              <w:rPr>
                <w:iCs/>
              </w:rPr>
              <w:t xml:space="preserve">” </w:t>
            </w:r>
            <w:hyperlink r:id="rId10" w:anchor="p43" w:tgtFrame="_blank" w:history="1">
              <w:r w:rsidR="00DF2CDD" w:rsidRPr="00D1655B">
                <w:rPr>
                  <w:iCs/>
                </w:rPr>
                <w:t>43.panta</w:t>
              </w:r>
            </w:hyperlink>
            <w:r w:rsidR="00DF2CDD" w:rsidRPr="00D1655B">
              <w:rPr>
                <w:iCs/>
              </w:rPr>
              <w:t xml:space="preserve"> pirmās</w:t>
            </w:r>
            <w:r w:rsidR="00E2732D">
              <w:rPr>
                <w:iCs/>
              </w:rPr>
              <w:t xml:space="preserve"> daļas 13.punktu un trešo daļu, </w:t>
            </w:r>
            <w:r w:rsidR="00DF2CDD" w:rsidRPr="00D1655B">
              <w:rPr>
                <w:iCs/>
              </w:rPr>
              <w:t>Ministru kabineta 2006.gada</w:t>
            </w:r>
            <w:r w:rsidR="00E2732D">
              <w:rPr>
                <w:iCs/>
              </w:rPr>
              <w:t xml:space="preserve"> 19.decembra noteikumu Nr.1036 </w:t>
            </w:r>
            <w:r w:rsidR="00DF2CDD" w:rsidRPr="00D1655B">
              <w:rPr>
                <w:iCs/>
              </w:rPr>
              <w:t>„</w:t>
            </w:r>
            <w:hyperlink r:id="rId11" w:tgtFrame="_blank" w:history="1">
              <w:r w:rsidR="00DF2CDD" w:rsidRPr="00D1655B">
                <w:rPr>
                  <w:iCs/>
                </w:rPr>
                <w:t>Audžuģimenes noteikumi</w:t>
              </w:r>
            </w:hyperlink>
            <w:r w:rsidR="00DF2CDD" w:rsidRPr="00D1655B">
              <w:rPr>
                <w:iCs/>
              </w:rPr>
              <w:t xml:space="preserve">” </w:t>
            </w:r>
            <w:hyperlink r:id="rId12" w:anchor="p43" w:tgtFrame="_blank" w:history="1">
              <w:r w:rsidR="00DF2CDD" w:rsidRPr="00D1655B">
                <w:rPr>
                  <w:iCs/>
                </w:rPr>
                <w:t xml:space="preserve">43. </w:t>
              </w:r>
            </w:hyperlink>
            <w:hyperlink r:id="rId13" w:anchor="p44" w:tgtFrame="_blank" w:history="1">
              <w:r w:rsidR="00DF2CDD" w:rsidRPr="00D1655B">
                <w:rPr>
                  <w:iCs/>
                </w:rPr>
                <w:t>punktu</w:t>
              </w:r>
            </w:hyperlink>
            <w:r w:rsidR="00DF2CDD" w:rsidRPr="00D1655B">
              <w:rPr>
                <w:iCs/>
              </w:rPr>
              <w:t xml:space="preserve">. </w:t>
            </w:r>
          </w:p>
          <w:p w:rsidR="00F67430" w:rsidRPr="00D1655B" w:rsidRDefault="00DF2CDD" w:rsidP="0005328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1655B">
              <w:t xml:space="preserve">Noteikumi </w:t>
            </w:r>
            <w:r w:rsidR="00154FB6" w:rsidRPr="00D1655B">
              <w:t>nosaka kārtību, kādā</w:t>
            </w:r>
            <w:r w:rsidR="000E2A70" w:rsidRPr="00D1655B">
              <w:t xml:space="preserve"> sniedzama pašvaldības palīdzība audžuģimenēm bērnu aprūpē un audzināšanā</w:t>
            </w:r>
            <w:r w:rsidR="0016506E" w:rsidRPr="00D1655B">
              <w:rPr>
                <w:szCs w:val="24"/>
              </w:rPr>
              <w:t>.</w:t>
            </w:r>
            <w:r w:rsidR="000E2A70" w:rsidRPr="00D1655B">
              <w:rPr>
                <w:szCs w:val="24"/>
              </w:rPr>
              <w:t xml:space="preserve"> </w:t>
            </w:r>
          </w:p>
        </w:tc>
      </w:tr>
      <w:tr w:rsidR="00F67430" w:rsidTr="00F534E8">
        <w:tc>
          <w:tcPr>
            <w:tcW w:w="2988" w:type="dxa"/>
          </w:tcPr>
          <w:p w:rsidR="00F67430" w:rsidRPr="00D1655B" w:rsidRDefault="00F67430" w:rsidP="007D7CDE">
            <w:r w:rsidRPr="00D1655B">
              <w:t>2. Projekta nepieciešamības pamatojums</w:t>
            </w:r>
          </w:p>
        </w:tc>
        <w:tc>
          <w:tcPr>
            <w:tcW w:w="6192" w:type="dxa"/>
          </w:tcPr>
          <w:p w:rsidR="00DF2CDD" w:rsidRPr="00D1655B" w:rsidRDefault="008467A1" w:rsidP="00DF2CDD">
            <w:pPr>
              <w:ind w:firstLine="300"/>
              <w:jc w:val="both"/>
            </w:pPr>
            <w:r w:rsidRPr="00D1655B">
              <w:rPr>
                <w:iCs/>
              </w:rPr>
              <w:t>N</w:t>
            </w:r>
            <w:r w:rsidR="00F67430" w:rsidRPr="00D1655B">
              <w:rPr>
                <w:iCs/>
              </w:rPr>
              <w:t xml:space="preserve">oteikumi </w:t>
            </w:r>
            <w:r w:rsidRPr="00D1655B">
              <w:t>tiek i</w:t>
            </w:r>
            <w:r w:rsidRPr="00D1655B">
              <w:rPr>
                <w:iCs/>
              </w:rPr>
              <w:t>zdoti saskaņā ar Sociālo pakalpojumu un sociālās palīdzības likuma 35.panta ceturto daļu, likuma „</w:t>
            </w:r>
            <w:hyperlink r:id="rId14" w:tgtFrame="_blank" w:history="1">
              <w:r w:rsidRPr="00D1655B">
                <w:rPr>
                  <w:iCs/>
                </w:rPr>
                <w:t>Par pašvaldībām</w:t>
              </w:r>
            </w:hyperlink>
            <w:r w:rsidRPr="00D1655B">
              <w:rPr>
                <w:iCs/>
              </w:rPr>
              <w:t xml:space="preserve">” </w:t>
            </w:r>
            <w:hyperlink r:id="rId15" w:anchor="p43" w:tgtFrame="_blank" w:history="1">
              <w:r w:rsidRPr="00D1655B">
                <w:rPr>
                  <w:iCs/>
                </w:rPr>
                <w:t>43.panta</w:t>
              </w:r>
            </w:hyperlink>
            <w:r w:rsidRPr="00D1655B">
              <w:rPr>
                <w:iCs/>
              </w:rPr>
              <w:t xml:space="preserve"> pirmās</w:t>
            </w:r>
            <w:r w:rsidR="00E2732D">
              <w:rPr>
                <w:iCs/>
              </w:rPr>
              <w:t xml:space="preserve"> daļas 13.punktu un trešo daļu, </w:t>
            </w:r>
            <w:r w:rsidRPr="00D1655B">
              <w:rPr>
                <w:iCs/>
              </w:rPr>
              <w:t>Ministru kabineta 2006.gada 19.decembra noteikumu Nr.1036</w:t>
            </w:r>
            <w:proofErr w:type="gramStart"/>
            <w:r w:rsidRPr="00D1655B">
              <w:rPr>
                <w:iCs/>
              </w:rPr>
              <w:t xml:space="preserve">  </w:t>
            </w:r>
            <w:proofErr w:type="gramEnd"/>
            <w:r w:rsidRPr="00D1655B">
              <w:rPr>
                <w:iCs/>
              </w:rPr>
              <w:t>„</w:t>
            </w:r>
            <w:hyperlink r:id="rId16" w:tgtFrame="_blank" w:history="1">
              <w:r w:rsidRPr="00D1655B">
                <w:rPr>
                  <w:iCs/>
                </w:rPr>
                <w:t>Audžuģimenes noteikumi</w:t>
              </w:r>
            </w:hyperlink>
            <w:r w:rsidRPr="00D1655B">
              <w:rPr>
                <w:iCs/>
              </w:rPr>
              <w:t xml:space="preserve">” </w:t>
            </w:r>
            <w:hyperlink r:id="rId17" w:anchor="p43" w:tgtFrame="_blank" w:history="1">
              <w:r w:rsidRPr="00D1655B">
                <w:rPr>
                  <w:iCs/>
                </w:rPr>
                <w:t>43.</w:t>
              </w:r>
            </w:hyperlink>
            <w:hyperlink r:id="rId18" w:anchor="p44" w:tgtFrame="_blank" w:history="1">
              <w:r w:rsidRPr="00D1655B">
                <w:rPr>
                  <w:iCs/>
                </w:rPr>
                <w:t>punktu</w:t>
              </w:r>
            </w:hyperlink>
            <w:r w:rsidRPr="00D1655B">
              <w:rPr>
                <w:iCs/>
              </w:rPr>
              <w:t xml:space="preserve">. Noteikumi ir </w:t>
            </w:r>
            <w:r w:rsidR="00F67430" w:rsidRPr="00D1655B">
              <w:rPr>
                <w:iCs/>
              </w:rPr>
              <w:t xml:space="preserve">nepieciešami, lai </w:t>
            </w:r>
            <w:r w:rsidR="000E2A70" w:rsidRPr="00D1655B">
              <w:t>noteiktu kārtību paš</w:t>
            </w:r>
            <w:r w:rsidR="00DF2CDD" w:rsidRPr="00D1655B">
              <w:t>valdības palīdzības sniegšanai audžuģimenēm. Tiek noteikti pašvaldības pabalstu</w:t>
            </w:r>
            <w:r w:rsidR="0005328B" w:rsidRPr="00D1655B">
              <w:t xml:space="preserve"> apmēri</w:t>
            </w:r>
            <w:r w:rsidR="00DF2CDD" w:rsidRPr="00D1655B">
              <w:t xml:space="preserve"> un izmaksas kārtība, kā arī </w:t>
            </w:r>
            <w:r w:rsidR="0005328B" w:rsidRPr="00D1655B">
              <w:t>noteikta kārtība atlīdzības piešķiršanai un izmaksai par audžuģimenes pienākumu pildīšanu, ja bērni (bērns) audžuģimenē ievietoti uz laiku, kas ir īsāks par vienu mēnesi.</w:t>
            </w:r>
          </w:p>
          <w:p w:rsidR="0016506E" w:rsidRPr="00221CB4" w:rsidRDefault="00DF2CDD" w:rsidP="00221CB4">
            <w:pPr>
              <w:jc w:val="both"/>
              <w:rPr>
                <w:color w:val="FF0000"/>
                <w:lang w:eastAsia="en-US"/>
              </w:rPr>
            </w:pPr>
            <w:r w:rsidRPr="00D1655B">
              <w:t>Pašvaldība paredz piešķirt pabalstu bērna</w:t>
            </w:r>
            <w:r w:rsidR="00314D88" w:rsidRPr="00D1655B">
              <w:t xml:space="preserve"> uzturam 5,69</w:t>
            </w:r>
            <w:r w:rsidRPr="00D1655B"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dienā, vienreizēju pabalstu</w:t>
            </w:r>
            <w:r w:rsidR="00314D88" w:rsidRPr="00D1655B">
              <w:t xml:space="preserve"> mīkstā inventāra iegādei 150,00</w:t>
            </w:r>
            <w:r w:rsidRPr="00D1655B">
              <w:t xml:space="preserve">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>, ievietojot bērnu audžuģimenē</w:t>
            </w:r>
            <w:r w:rsidR="00314D88" w:rsidRPr="00D1655B">
              <w:t>, pabalstu apģērba iegādei 100,00</w:t>
            </w:r>
            <w:r w:rsidRPr="00D1655B">
              <w:t xml:space="preserve">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katram 6 (sešu) mēnešu periodam, pabalstu individuālo mācību</w:t>
            </w:r>
            <w:r w:rsidRPr="00D1655B">
              <w:rPr>
                <w:rFonts w:ascii="Arial" w:hAnsi="Arial" w:cs="Arial"/>
              </w:rPr>
              <w:t xml:space="preserve"> </w:t>
            </w:r>
            <w:r w:rsidRPr="00D1655B">
              <w:t>piederumu iegādei</w:t>
            </w:r>
            <w:r w:rsidRPr="00D1655B">
              <w:rPr>
                <w:bCs/>
              </w:rPr>
              <w:t xml:space="preserve"> </w:t>
            </w:r>
            <w:r w:rsidRPr="00D1655B">
              <w:t xml:space="preserve">57,00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apmērā vispārējās izglītības iestāžu klātienes izglītojamajam un 29,00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apmērā bērnam 5 (piecu) – 6 (sešu) gadu vecumā, kurš apgūst obligāto pirmsskolas izglītības programmu (sagatavošana </w:t>
            </w:r>
            <w:r w:rsidR="001D6D66">
              <w:t xml:space="preserve">pamatizglītības ieguvei), </w:t>
            </w:r>
            <w:r w:rsidRPr="00D1655B">
              <w:t>pabalstu bērna</w:t>
            </w:r>
            <w:r w:rsidRPr="00D1655B">
              <w:rPr>
                <w:bCs/>
              </w:rPr>
              <w:t xml:space="preserve"> ēdināšanai izglītības iestādē un</w:t>
            </w:r>
            <w:r w:rsidRPr="00D1655B">
              <w:t xml:space="preserve"> </w:t>
            </w:r>
            <w:r w:rsidR="00221CB4">
              <w:t xml:space="preserve">pabalstu </w:t>
            </w:r>
            <w:r w:rsidR="00221CB4" w:rsidRPr="00221CB4">
              <w:rPr>
                <w:lang w:eastAsia="en-US"/>
              </w:rPr>
              <w:t>pirmsskolas izglītības iestādes ēdināšanas pakalpojuma apmaksai</w:t>
            </w:r>
            <w:r w:rsidR="001D6D66">
              <w:t xml:space="preserve">, kā arī </w:t>
            </w:r>
            <w:r w:rsidR="005218EB">
              <w:t xml:space="preserve">pabalstu </w:t>
            </w:r>
            <w:r w:rsidRPr="00D1655B">
              <w:t>profesionālās ievirzes programm</w:t>
            </w:r>
            <w:r w:rsidR="001D6D66">
              <w:t>as dalības maksas segšanai 15,00</w:t>
            </w:r>
            <w:r w:rsidRPr="00D1655B"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apmērā mēnesī.</w:t>
            </w:r>
          </w:p>
        </w:tc>
      </w:tr>
      <w:tr w:rsidR="00F67430" w:rsidTr="00F534E8">
        <w:tc>
          <w:tcPr>
            <w:tcW w:w="2988" w:type="dxa"/>
          </w:tcPr>
          <w:p w:rsidR="00F67430" w:rsidRPr="00D1655B" w:rsidRDefault="00F67430" w:rsidP="007D7CDE">
            <w:r w:rsidRPr="00D1655B">
              <w:t>3.Informācija par plānoto projekta ietekmi uz pašvaldības budžetu</w:t>
            </w:r>
          </w:p>
        </w:tc>
        <w:tc>
          <w:tcPr>
            <w:tcW w:w="6192" w:type="dxa"/>
          </w:tcPr>
          <w:p w:rsidR="0005328B" w:rsidRPr="00D1655B" w:rsidRDefault="0005328B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N</w:t>
            </w:r>
            <w:r w:rsidR="00F67430" w:rsidRPr="00D1655B">
              <w:t xml:space="preserve">oteikumu realizēšanai </w:t>
            </w:r>
            <w:r w:rsidR="00154FB6" w:rsidRPr="00D1655B">
              <w:t>tiek paredzēti</w:t>
            </w:r>
            <w:r w:rsidR="000E2A70" w:rsidRPr="00D1655B">
              <w:t xml:space="preserve"> </w:t>
            </w:r>
            <w:r w:rsidR="00F67430" w:rsidRPr="00D1655B">
              <w:t>naudas līdzekļi</w:t>
            </w:r>
            <w:r w:rsidR="000E2A70" w:rsidRPr="00D1655B">
              <w:t xml:space="preserve"> Jelgavas pilsētas pašvaldības iestādes „Jelgavas sociālo lietu pārvalde” </w:t>
            </w:r>
            <w:r w:rsidR="00E628F3" w:rsidRPr="00D1655B">
              <w:t>2016</w:t>
            </w:r>
            <w:r w:rsidR="000E2A70" w:rsidRPr="00D1655B">
              <w:t xml:space="preserve">.gada </w:t>
            </w:r>
            <w:r w:rsidR="00CE3D45" w:rsidRPr="00D1655B">
              <w:t>iestādes</w:t>
            </w:r>
            <w:r w:rsidR="00E628F3" w:rsidRPr="00D1655B">
              <w:t xml:space="preserve"> </w:t>
            </w:r>
            <w:r w:rsidR="000E2A70" w:rsidRPr="00D1655B">
              <w:t>budžetā</w:t>
            </w:r>
            <w:r w:rsidR="008467A1" w:rsidRPr="00D1655B">
              <w:t xml:space="preserve"> </w:t>
            </w:r>
            <w:r w:rsidR="00CE3D45" w:rsidRPr="00D1655B">
              <w:t>par kopējo summu</w:t>
            </w:r>
            <w:r w:rsidR="00E5166D" w:rsidRPr="00D1655B">
              <w:t xml:space="preserve"> 67 648,50</w:t>
            </w:r>
            <w:r w:rsidR="00CE3D45" w:rsidRPr="00D1655B">
              <w:t xml:space="preserve"> </w:t>
            </w:r>
            <w:proofErr w:type="spellStart"/>
            <w:r w:rsidR="008467A1" w:rsidRPr="00D1655B">
              <w:rPr>
                <w:i/>
              </w:rPr>
              <w:t>euro</w:t>
            </w:r>
            <w:proofErr w:type="spellEnd"/>
            <w:r w:rsidR="0016506E" w:rsidRPr="00D1655B">
              <w:t>.</w:t>
            </w:r>
            <w:r w:rsidR="00F67430" w:rsidRPr="00D1655B">
              <w:t xml:space="preserve"> </w:t>
            </w:r>
          </w:p>
          <w:p w:rsidR="0016506E" w:rsidRPr="00D1655B" w:rsidRDefault="0005328B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Tiek plānots sniegt pašvaldības palīdzību 15 (piecpadsmit) audžuģimenēm par 25 (divdesmit pieciem) bērniem, kuri ir ievietoti audžuģimenēs.</w:t>
            </w:r>
          </w:p>
          <w:p w:rsidR="00F67430" w:rsidRPr="00D1655B" w:rsidRDefault="00CE3D45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 xml:space="preserve">Pabalsta apģērba iegādei palielināšanai līdz 100,00 </w:t>
            </w:r>
            <w:proofErr w:type="spellStart"/>
            <w:r w:rsidRPr="00D1655B">
              <w:rPr>
                <w:i/>
                <w:iCs w:val="0"/>
              </w:rPr>
              <w:t>euro</w:t>
            </w:r>
            <w:proofErr w:type="spellEnd"/>
            <w:r w:rsidRPr="00D1655B">
              <w:t xml:space="preserve"> katram 6 (sešu) mēnešu periodam </w:t>
            </w:r>
            <w:r w:rsidR="00E5166D" w:rsidRPr="00D1655B">
              <w:t xml:space="preserve">2016.gadā </w:t>
            </w:r>
            <w:r w:rsidRPr="00D1655B">
              <w:t xml:space="preserve">papildus nepieciešams 731,50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(29,26</w:t>
            </w:r>
            <w:r w:rsidRPr="00D1655B">
              <w:rPr>
                <w:i/>
              </w:rPr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X 25 bērni).</w:t>
            </w:r>
          </w:p>
        </w:tc>
      </w:tr>
      <w:tr w:rsidR="00D9238B" w:rsidTr="00F534E8">
        <w:trPr>
          <w:trHeight w:val="577"/>
        </w:trPr>
        <w:tc>
          <w:tcPr>
            <w:tcW w:w="2988" w:type="dxa"/>
          </w:tcPr>
          <w:p w:rsidR="00D9238B" w:rsidRPr="00D1655B" w:rsidRDefault="00F67430" w:rsidP="00030076">
            <w:r w:rsidRPr="00D1655B">
              <w:lastRenderedPageBreak/>
              <w:t>4. Informācija par plānoto projekta ietekmi uz uzņēmējdarbības vidi pašvaldības teritorijā</w:t>
            </w:r>
          </w:p>
        </w:tc>
        <w:tc>
          <w:tcPr>
            <w:tcW w:w="6192" w:type="dxa"/>
          </w:tcPr>
          <w:p w:rsidR="00D9238B" w:rsidRPr="00D1655B" w:rsidRDefault="00F67430" w:rsidP="003E2FE2">
            <w:pPr>
              <w:jc w:val="both"/>
              <w:rPr>
                <w:iCs/>
                <w:lang w:eastAsia="en-US"/>
              </w:rPr>
            </w:pPr>
            <w:r w:rsidRPr="00D1655B">
              <w:rPr>
                <w:iCs/>
                <w:lang w:eastAsia="en-US"/>
              </w:rPr>
              <w:t>Neietekmē</w:t>
            </w:r>
            <w:r w:rsidR="00096A0D" w:rsidRPr="00D1655B">
              <w:rPr>
                <w:iCs/>
                <w:lang w:eastAsia="en-US"/>
              </w:rPr>
              <w:t>.</w:t>
            </w:r>
          </w:p>
        </w:tc>
      </w:tr>
      <w:tr w:rsidR="00D9238B" w:rsidRPr="005B7899" w:rsidTr="00F534E8">
        <w:tc>
          <w:tcPr>
            <w:tcW w:w="2988" w:type="dxa"/>
          </w:tcPr>
          <w:p w:rsidR="00D9238B" w:rsidRPr="00D1655B" w:rsidRDefault="00096A0D" w:rsidP="00030076">
            <w:r w:rsidRPr="00D1655B">
              <w:t>5.</w:t>
            </w:r>
            <w:r w:rsidR="00FD257A" w:rsidRPr="00D1655B">
              <w:t xml:space="preserve"> Informācija par plānoto projekta ietekmi uz administratīvajām procedūrām</w:t>
            </w:r>
          </w:p>
        </w:tc>
        <w:tc>
          <w:tcPr>
            <w:tcW w:w="6192" w:type="dxa"/>
          </w:tcPr>
          <w:p w:rsidR="009E6AFF" w:rsidRPr="00D1655B" w:rsidRDefault="000E2A70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Neietekmē</w:t>
            </w:r>
            <w:r w:rsidR="0016506E" w:rsidRPr="00D1655B">
              <w:t xml:space="preserve">. </w:t>
            </w:r>
          </w:p>
          <w:p w:rsidR="00D9238B" w:rsidRPr="00D1655B" w:rsidRDefault="00D9238B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Tr="00F534E8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6192" w:type="dxa"/>
          </w:tcPr>
          <w:p w:rsidR="00D9548C" w:rsidRPr="00FC7C5D" w:rsidRDefault="008467A1" w:rsidP="00642199">
            <w:pPr>
              <w:jc w:val="both"/>
            </w:pPr>
            <w:r>
              <w:t>N</w:t>
            </w:r>
            <w:r w:rsidR="00E11F28" w:rsidRPr="00E11F28">
              <w:t>oteikumu projekts apspriests Jelgavas pilsētas domes Sociālo lietu konsultatīvajā komisijā.</w:t>
            </w:r>
          </w:p>
        </w:tc>
      </w:tr>
    </w:tbl>
    <w:p w:rsidR="00D9238B" w:rsidRDefault="00D9238B" w:rsidP="00030076"/>
    <w:p w:rsidR="00F534E8" w:rsidRDefault="00F534E8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F534E8">
      <w:footerReference w:type="default" r:id="rId19"/>
      <w:pgSz w:w="11906" w:h="16838" w:code="9"/>
      <w:pgMar w:top="1134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F4" w:rsidRDefault="00BE2EF4" w:rsidP="0061694D">
      <w:r>
        <w:separator/>
      </w:r>
    </w:p>
  </w:endnote>
  <w:endnote w:type="continuationSeparator" w:id="0">
    <w:p w:rsidR="00BE2EF4" w:rsidRDefault="00BE2EF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43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D95" w:rsidRDefault="00341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F4" w:rsidRDefault="00BE2EF4" w:rsidP="0061694D">
      <w:r>
        <w:separator/>
      </w:r>
    </w:p>
  </w:footnote>
  <w:footnote w:type="continuationSeparator" w:id="0">
    <w:p w:rsidR="00BE2EF4" w:rsidRDefault="00BE2EF4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5328B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C5B92"/>
    <w:rsid w:val="000D2079"/>
    <w:rsid w:val="000D20C3"/>
    <w:rsid w:val="000E2A70"/>
    <w:rsid w:val="000E7A92"/>
    <w:rsid w:val="000E7B72"/>
    <w:rsid w:val="000E7FCB"/>
    <w:rsid w:val="000F27F3"/>
    <w:rsid w:val="00101E3D"/>
    <w:rsid w:val="001130EC"/>
    <w:rsid w:val="001207E5"/>
    <w:rsid w:val="001279D7"/>
    <w:rsid w:val="001324FC"/>
    <w:rsid w:val="00135A58"/>
    <w:rsid w:val="00154C0D"/>
    <w:rsid w:val="00154FB6"/>
    <w:rsid w:val="00155E6E"/>
    <w:rsid w:val="00161E5E"/>
    <w:rsid w:val="00161EB5"/>
    <w:rsid w:val="00163F18"/>
    <w:rsid w:val="00164131"/>
    <w:rsid w:val="0016506E"/>
    <w:rsid w:val="001673E9"/>
    <w:rsid w:val="001710A2"/>
    <w:rsid w:val="0018106D"/>
    <w:rsid w:val="00183AAF"/>
    <w:rsid w:val="00196DF1"/>
    <w:rsid w:val="001A4428"/>
    <w:rsid w:val="001B102D"/>
    <w:rsid w:val="001B5B3D"/>
    <w:rsid w:val="001B63F3"/>
    <w:rsid w:val="001D3358"/>
    <w:rsid w:val="001D6D66"/>
    <w:rsid w:val="001F0A40"/>
    <w:rsid w:val="001F142A"/>
    <w:rsid w:val="002044BF"/>
    <w:rsid w:val="002053E3"/>
    <w:rsid w:val="00210157"/>
    <w:rsid w:val="00221CB4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3499"/>
    <w:rsid w:val="002E799F"/>
    <w:rsid w:val="002F1DBE"/>
    <w:rsid w:val="00312243"/>
    <w:rsid w:val="003144C0"/>
    <w:rsid w:val="00314D88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1D95"/>
    <w:rsid w:val="00347C48"/>
    <w:rsid w:val="00352D09"/>
    <w:rsid w:val="00362CC2"/>
    <w:rsid w:val="00363FCF"/>
    <w:rsid w:val="00364155"/>
    <w:rsid w:val="00364386"/>
    <w:rsid w:val="00375053"/>
    <w:rsid w:val="00381E80"/>
    <w:rsid w:val="003861E0"/>
    <w:rsid w:val="00386F0F"/>
    <w:rsid w:val="003874F5"/>
    <w:rsid w:val="003965C8"/>
    <w:rsid w:val="003A2F24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D87"/>
    <w:rsid w:val="005218EB"/>
    <w:rsid w:val="00521F29"/>
    <w:rsid w:val="005229A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4DB2"/>
    <w:rsid w:val="0058129D"/>
    <w:rsid w:val="00592C9C"/>
    <w:rsid w:val="00593B06"/>
    <w:rsid w:val="00596B56"/>
    <w:rsid w:val="005A3E24"/>
    <w:rsid w:val="005B146E"/>
    <w:rsid w:val="005B1B08"/>
    <w:rsid w:val="005B7899"/>
    <w:rsid w:val="005C4FEF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58AF"/>
    <w:rsid w:val="006878E0"/>
    <w:rsid w:val="00692DCC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5B72"/>
    <w:rsid w:val="007476D8"/>
    <w:rsid w:val="007573A4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C6161"/>
    <w:rsid w:val="007D19BA"/>
    <w:rsid w:val="007D5F16"/>
    <w:rsid w:val="007D6D96"/>
    <w:rsid w:val="007E2B96"/>
    <w:rsid w:val="007F2EBD"/>
    <w:rsid w:val="007F6B53"/>
    <w:rsid w:val="00800601"/>
    <w:rsid w:val="00804199"/>
    <w:rsid w:val="0080555B"/>
    <w:rsid w:val="008073E9"/>
    <w:rsid w:val="008112F7"/>
    <w:rsid w:val="00813383"/>
    <w:rsid w:val="00821B66"/>
    <w:rsid w:val="00823B8C"/>
    <w:rsid w:val="00833968"/>
    <w:rsid w:val="008467A1"/>
    <w:rsid w:val="00854473"/>
    <w:rsid w:val="00854961"/>
    <w:rsid w:val="00863E8C"/>
    <w:rsid w:val="00866008"/>
    <w:rsid w:val="00877317"/>
    <w:rsid w:val="00885A9E"/>
    <w:rsid w:val="00894152"/>
    <w:rsid w:val="008A7986"/>
    <w:rsid w:val="008B59AC"/>
    <w:rsid w:val="008B59F2"/>
    <w:rsid w:val="008B758E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4DFB"/>
    <w:rsid w:val="009C54FB"/>
    <w:rsid w:val="009E6AFF"/>
    <w:rsid w:val="00A04B07"/>
    <w:rsid w:val="00A04CB3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77DBE"/>
    <w:rsid w:val="00A860DF"/>
    <w:rsid w:val="00A9033C"/>
    <w:rsid w:val="00A9403C"/>
    <w:rsid w:val="00AA48C8"/>
    <w:rsid w:val="00AA7D07"/>
    <w:rsid w:val="00AB4B6C"/>
    <w:rsid w:val="00AB5A6F"/>
    <w:rsid w:val="00AC3A09"/>
    <w:rsid w:val="00AC502C"/>
    <w:rsid w:val="00AC6220"/>
    <w:rsid w:val="00AC6E77"/>
    <w:rsid w:val="00AD307B"/>
    <w:rsid w:val="00AD517E"/>
    <w:rsid w:val="00AD7A12"/>
    <w:rsid w:val="00AE7E98"/>
    <w:rsid w:val="00AF087B"/>
    <w:rsid w:val="00AF4B39"/>
    <w:rsid w:val="00AF72CF"/>
    <w:rsid w:val="00B02228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84EEE"/>
    <w:rsid w:val="00B90322"/>
    <w:rsid w:val="00B9118D"/>
    <w:rsid w:val="00B96FBF"/>
    <w:rsid w:val="00B97E2C"/>
    <w:rsid w:val="00BA1706"/>
    <w:rsid w:val="00BA47CB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EF4"/>
    <w:rsid w:val="00BF1031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C5677"/>
    <w:rsid w:val="00CE3D45"/>
    <w:rsid w:val="00D01814"/>
    <w:rsid w:val="00D02033"/>
    <w:rsid w:val="00D03FB9"/>
    <w:rsid w:val="00D04883"/>
    <w:rsid w:val="00D07E6C"/>
    <w:rsid w:val="00D1655B"/>
    <w:rsid w:val="00D165DC"/>
    <w:rsid w:val="00D2062B"/>
    <w:rsid w:val="00D23606"/>
    <w:rsid w:val="00D30893"/>
    <w:rsid w:val="00D33E23"/>
    <w:rsid w:val="00D377CD"/>
    <w:rsid w:val="00D40D9C"/>
    <w:rsid w:val="00D517A9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238B"/>
    <w:rsid w:val="00D9548C"/>
    <w:rsid w:val="00D97279"/>
    <w:rsid w:val="00DA6A0F"/>
    <w:rsid w:val="00DA6F41"/>
    <w:rsid w:val="00DB4418"/>
    <w:rsid w:val="00DB5CA2"/>
    <w:rsid w:val="00DC51CE"/>
    <w:rsid w:val="00DC5D3E"/>
    <w:rsid w:val="00DC7182"/>
    <w:rsid w:val="00DD3A99"/>
    <w:rsid w:val="00DE3D7F"/>
    <w:rsid w:val="00DE6AFB"/>
    <w:rsid w:val="00DF2CDD"/>
    <w:rsid w:val="00DF3392"/>
    <w:rsid w:val="00DF60C6"/>
    <w:rsid w:val="00E06810"/>
    <w:rsid w:val="00E11F28"/>
    <w:rsid w:val="00E15794"/>
    <w:rsid w:val="00E2732D"/>
    <w:rsid w:val="00E3322B"/>
    <w:rsid w:val="00E33524"/>
    <w:rsid w:val="00E5166D"/>
    <w:rsid w:val="00E52EFE"/>
    <w:rsid w:val="00E56568"/>
    <w:rsid w:val="00E628F3"/>
    <w:rsid w:val="00E6721E"/>
    <w:rsid w:val="00E70BE8"/>
    <w:rsid w:val="00E73307"/>
    <w:rsid w:val="00E73E74"/>
    <w:rsid w:val="00EA0C9E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3E11"/>
    <w:rsid w:val="00F15875"/>
    <w:rsid w:val="00F15E07"/>
    <w:rsid w:val="00F23F94"/>
    <w:rsid w:val="00F3105C"/>
    <w:rsid w:val="00F33115"/>
    <w:rsid w:val="00F34D65"/>
    <w:rsid w:val="00F46413"/>
    <w:rsid w:val="00F46607"/>
    <w:rsid w:val="00F50252"/>
    <w:rsid w:val="00F515D6"/>
    <w:rsid w:val="00F534E8"/>
    <w:rsid w:val="00F563E8"/>
    <w:rsid w:val="00F613F1"/>
    <w:rsid w:val="00F625E7"/>
    <w:rsid w:val="00F65D58"/>
    <w:rsid w:val="00F6636E"/>
    <w:rsid w:val="00F67430"/>
    <w:rsid w:val="00F71533"/>
    <w:rsid w:val="00F75531"/>
    <w:rsid w:val="00F87B87"/>
    <w:rsid w:val="00F9136D"/>
    <w:rsid w:val="00F9281C"/>
    <w:rsid w:val="00FA4601"/>
    <w:rsid w:val="00FB266B"/>
    <w:rsid w:val="00FC0A55"/>
    <w:rsid w:val="00FC706D"/>
    <w:rsid w:val="00FC7C5D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150734-audzugimenes-noteikumi" TargetMode="External"/><Relationship Id="rId18" Type="http://schemas.openxmlformats.org/officeDocument/2006/relationships/hyperlink" Target="http://likumi.lv/ta/id/150734-audzugimenes-noteikum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150734-audzugimenes-noteikumi" TargetMode="External"/><Relationship Id="rId17" Type="http://schemas.openxmlformats.org/officeDocument/2006/relationships/hyperlink" Target="http://likumi.lv/ta/id/150734-audzugimenes-noteiku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kumi.lv/ta/id/150734-audzugimenes-noteikum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150734-audzugimenes-noteikum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kumi.lv/ta/id/57255-par-pasvaldibam" TargetMode="External"/><Relationship Id="rId10" Type="http://schemas.openxmlformats.org/officeDocument/2006/relationships/hyperlink" Target="http://likumi.lv/ta/id/57255-par-pasvaldiba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yperlink" Target="http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81D-ABFA-48CD-971F-D616C946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7</cp:revision>
  <cp:lastPrinted>2015-09-24T10:24:00Z</cp:lastPrinted>
  <dcterms:created xsi:type="dcterms:W3CDTF">2015-09-14T10:40:00Z</dcterms:created>
  <dcterms:modified xsi:type="dcterms:W3CDTF">2015-09-24T10:25:00Z</dcterms:modified>
</cp:coreProperties>
</file>