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E23A9" w:rsidP="003D5C89">
                            <w:r>
                              <w:t>NO</w:t>
                            </w:r>
                            <w:bookmarkStart w:id="0" w:name="_GoBack"/>
                            <w:bookmarkEnd w:id="0"/>
                            <w:r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3E23A9" w:rsidP="003D5C89">
                      <w:r>
                        <w:t>NO</w:t>
                      </w:r>
                      <w:bookmarkStart w:id="1" w:name="_GoBack"/>
                      <w:bookmarkEnd w:id="1"/>
                      <w:r>
                        <w:t>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C0D3C" w:rsidP="008C7D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C7D19">
              <w:rPr>
                <w:bCs/>
                <w:szCs w:val="44"/>
                <w:lang w:val="lv-LV"/>
              </w:rPr>
              <w:t>5.0</w:t>
            </w:r>
            <w:r w:rsidR="00E81A1D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8C7D19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E23A9">
              <w:rPr>
                <w:bCs/>
                <w:szCs w:val="44"/>
                <w:lang w:val="lv-LV"/>
              </w:rPr>
              <w:t>1/23</w:t>
            </w:r>
          </w:p>
        </w:tc>
      </w:tr>
    </w:tbl>
    <w:p w:rsidR="00E61AB9" w:rsidRPr="00B53C34" w:rsidRDefault="00E61AB9">
      <w:pPr>
        <w:pStyle w:val="Header"/>
        <w:tabs>
          <w:tab w:val="clear" w:pos="4320"/>
          <w:tab w:val="clear" w:pos="8640"/>
        </w:tabs>
        <w:rPr>
          <w:bCs/>
          <w:sz w:val="22"/>
          <w:szCs w:val="44"/>
          <w:lang w:val="lv-LV"/>
        </w:rPr>
      </w:pPr>
    </w:p>
    <w:p w:rsidR="008C7D19" w:rsidRPr="007023F7" w:rsidRDefault="008C7D19" w:rsidP="00885721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ATĻAUJA TOTALIZATORA UN DERĪBU LIKMJU PIEŅEMŠANAS VIETAS ATVĒRŠANAI UN AZARTSPĒĻU ORGANIZĒŠANAI</w:t>
      </w:r>
      <w:r>
        <w:rPr>
          <w:b/>
        </w:rPr>
        <w:br/>
        <w:t xml:space="preserve"> RĪGAS IELĀ 48, JELGAVĀ </w:t>
      </w:r>
    </w:p>
    <w:p w:rsidR="003E23A9" w:rsidRPr="003E23A9" w:rsidRDefault="003E23A9" w:rsidP="003E23A9">
      <w:pPr>
        <w:jc w:val="center"/>
        <w:rPr>
          <w:b/>
          <w:bCs/>
          <w:caps/>
          <w:lang w:eastAsia="lv-LV"/>
        </w:rPr>
      </w:pPr>
      <w:r w:rsidRPr="003E23A9">
        <w:rPr>
          <w:szCs w:val="20"/>
          <w:lang w:eastAsia="lv-LV"/>
        </w:rPr>
        <w:t xml:space="preserve">(ziņo </w:t>
      </w:r>
      <w:proofErr w:type="spellStart"/>
      <w:r w:rsidRPr="003E23A9">
        <w:rPr>
          <w:szCs w:val="20"/>
          <w:lang w:eastAsia="lv-LV"/>
        </w:rPr>
        <w:t>I.Škutāne</w:t>
      </w:r>
      <w:proofErr w:type="spellEnd"/>
      <w:r w:rsidRPr="003E23A9">
        <w:rPr>
          <w:szCs w:val="20"/>
          <w:lang w:eastAsia="lv-LV"/>
        </w:rPr>
        <w:t>)</w:t>
      </w:r>
    </w:p>
    <w:p w:rsidR="00CC0D3C" w:rsidRPr="00815CDB" w:rsidRDefault="00CC0D3C" w:rsidP="00CC0D3C">
      <w:pPr>
        <w:pStyle w:val="BodyText"/>
        <w:jc w:val="both"/>
        <w:rPr>
          <w:sz w:val="32"/>
        </w:rPr>
      </w:pPr>
    </w:p>
    <w:p w:rsidR="008C7D19" w:rsidRDefault="008C7D19" w:rsidP="008C7D19">
      <w:pPr>
        <w:ind w:firstLine="567"/>
        <w:jc w:val="both"/>
      </w:pPr>
      <w:r>
        <w:t>201</w:t>
      </w:r>
      <w:r w:rsidR="00DE7E38">
        <w:t>7</w:t>
      </w:r>
      <w:r>
        <w:t xml:space="preserve">.gada 22.decembrī </w:t>
      </w:r>
      <w:r w:rsidRPr="004E2E10">
        <w:t xml:space="preserve">Jelgavas </w:t>
      </w:r>
      <w:r>
        <w:t>pilsētas pašvaldības administrācijā</w:t>
      </w:r>
      <w:r w:rsidRPr="004E2E10">
        <w:t xml:space="preserve"> saņemts</w:t>
      </w:r>
      <w:r w:rsidR="0089092B">
        <w:br/>
      </w:r>
      <w:r w:rsidR="00AC7BF4">
        <w:t>SIA “Oly</w:t>
      </w:r>
      <w:r>
        <w:t>mpic Casino Latvia” (reģistrācijas Nr.40003264397, juridiskā adrese</w:t>
      </w:r>
      <w:r w:rsidR="00545E6C">
        <w:t>:</w:t>
      </w:r>
      <w:r>
        <w:t xml:space="preserve"> Kronvalda bulvāris 3, Rīga, LV-1010) iesniegums ar lūgumu izsniegt </w:t>
      </w:r>
      <w:r w:rsidRPr="004E2E10">
        <w:t>atļauju</w:t>
      </w:r>
      <w:r>
        <w:t xml:space="preserve"> </w:t>
      </w:r>
      <w:r w:rsidR="00293C9F">
        <w:t xml:space="preserve">Rīgas ielā 48, Jelgavā </w:t>
      </w:r>
      <w:r w:rsidR="005951E5">
        <w:t xml:space="preserve">jau darbojošās spēļu zāles telpās </w:t>
      </w:r>
      <w:r w:rsidR="001B35DD">
        <w:t xml:space="preserve">papildus </w:t>
      </w:r>
      <w:r w:rsidR="00293C9F">
        <w:t xml:space="preserve">atvērt </w:t>
      </w:r>
      <w:r>
        <w:t xml:space="preserve">totalizatoru un derību likmju pieņemšanas vietu </w:t>
      </w:r>
      <w:r w:rsidR="00293C9F">
        <w:t>un organizēt attiecīgās azartspēles</w:t>
      </w:r>
      <w:r>
        <w:t>.</w:t>
      </w:r>
    </w:p>
    <w:p w:rsidR="008C7D19" w:rsidRPr="005C16E7" w:rsidRDefault="008C7D19" w:rsidP="008C7D19">
      <w:pPr>
        <w:ind w:firstLine="567"/>
        <w:jc w:val="both"/>
      </w:pPr>
      <w:r w:rsidRPr="005C16E7">
        <w:t>SIA ”</w:t>
      </w:r>
      <w:r w:rsidR="00AC7BF4">
        <w:t>Oly</w:t>
      </w:r>
      <w:r w:rsidR="005C16E7">
        <w:t>mpic Casino Latvia”</w:t>
      </w:r>
      <w:r w:rsidRPr="005C16E7">
        <w:t xml:space="preserve"> ir Latvijas Republikas Finanšu ministrijas Izložu un azartspēļu uzraudzības inspekcijas 201</w:t>
      </w:r>
      <w:r w:rsidR="005C16E7" w:rsidRPr="005C16E7">
        <w:t>7</w:t>
      </w:r>
      <w:r w:rsidRPr="005C16E7">
        <w:t xml:space="preserve">.gada </w:t>
      </w:r>
      <w:r w:rsidR="005C16E7" w:rsidRPr="005C16E7">
        <w:t>10.augustā</w:t>
      </w:r>
      <w:r w:rsidRPr="005C16E7">
        <w:t xml:space="preserve"> izsniegta licence Nr.SZ-14</w:t>
      </w:r>
      <w:r w:rsidR="005C16E7" w:rsidRPr="005C16E7">
        <w:t>44</w:t>
      </w:r>
      <w:r w:rsidRPr="005C16E7">
        <w:t xml:space="preserve"> spēļu zāles atvēršanai </w:t>
      </w:r>
      <w:r w:rsidR="005C16E7" w:rsidRPr="005C16E7">
        <w:t>Rīgas</w:t>
      </w:r>
      <w:r w:rsidRPr="005C16E7">
        <w:t xml:space="preserve"> iela 4</w:t>
      </w:r>
      <w:r w:rsidR="005C16E7" w:rsidRPr="005C16E7">
        <w:t>8</w:t>
      </w:r>
      <w:r w:rsidRPr="005C16E7">
        <w:t>, Jelgavā un 201</w:t>
      </w:r>
      <w:r w:rsidR="005C16E7" w:rsidRPr="005C16E7">
        <w:t>7</w:t>
      </w:r>
      <w:r w:rsidRPr="005C16E7">
        <w:t xml:space="preserve">.gada </w:t>
      </w:r>
      <w:r w:rsidR="005C16E7" w:rsidRPr="005C16E7">
        <w:t>21.aprīlī</w:t>
      </w:r>
      <w:r w:rsidRPr="005C16E7">
        <w:t xml:space="preserve"> izsniegta licence Nr.</w:t>
      </w:r>
      <w:r w:rsidR="005C16E7" w:rsidRPr="005C16E7">
        <w:t>A-55</w:t>
      </w:r>
      <w:r w:rsidR="00AC7BF4">
        <w:t xml:space="preserve"> azartspēļu</w:t>
      </w:r>
      <w:r w:rsidR="00AC7BF4" w:rsidRPr="00AC7BF4">
        <w:t>, tai skaitā totalizatora</w:t>
      </w:r>
      <w:r w:rsidR="00293C9F" w:rsidRPr="00AC7BF4">
        <w:t xml:space="preserve"> un derīb</w:t>
      </w:r>
      <w:r w:rsidR="00AC7BF4" w:rsidRPr="00AC7BF4">
        <w:t>u</w:t>
      </w:r>
      <w:r w:rsidR="00AC7BF4">
        <w:t>,</w:t>
      </w:r>
      <w:r w:rsidR="005C16E7">
        <w:t xml:space="preserve"> </w:t>
      </w:r>
      <w:r w:rsidRPr="005C16E7">
        <w:t>organizēšanai un uzturēšanai.</w:t>
      </w:r>
    </w:p>
    <w:p w:rsidR="004711C5" w:rsidRDefault="004711C5" w:rsidP="004711C5">
      <w:pPr>
        <w:ind w:firstLine="567"/>
        <w:jc w:val="both"/>
      </w:pPr>
      <w:r>
        <w:t>No Jelgavas tiesas Zemesgrāmatu nodaļas Jelgavas pilsētas zemesgrāmatas nodalījuma Nr.93 redzams, ka nekustamā īpašuma</w:t>
      </w:r>
      <w:r w:rsidRPr="007A623E">
        <w:t xml:space="preserve"> </w:t>
      </w:r>
      <w:r>
        <w:t>Rīgas</w:t>
      </w:r>
      <w:r w:rsidRPr="007A623E">
        <w:t xml:space="preserve"> ielā </w:t>
      </w:r>
      <w:r>
        <w:t>48, Jelgavā īpašnieks ir SIA „EfTEN Jelgava” (reģistrācijas Nr.45403035382).</w:t>
      </w:r>
    </w:p>
    <w:p w:rsidR="004711C5" w:rsidRDefault="004711C5" w:rsidP="008C7D19">
      <w:pPr>
        <w:ind w:firstLine="567"/>
        <w:jc w:val="both"/>
      </w:pPr>
      <w:r>
        <w:t>S</w:t>
      </w:r>
      <w:r w:rsidRPr="004E2E10">
        <w:t xml:space="preserve">tarp </w:t>
      </w:r>
      <w:r>
        <w:t xml:space="preserve">SIA ”EfTEN Jelgava” un SIA „Garkalns” </w:t>
      </w:r>
      <w:r w:rsidRPr="004E2E10">
        <w:t>20</w:t>
      </w:r>
      <w:r>
        <w:t>16</w:t>
      </w:r>
      <w:r w:rsidRPr="004E2E10">
        <w:t xml:space="preserve">.gada </w:t>
      </w:r>
      <w:r>
        <w:t>30.novembrī</w:t>
      </w:r>
      <w:r w:rsidRPr="004E2E10">
        <w:t xml:space="preserve"> </w:t>
      </w:r>
      <w:r w:rsidRPr="00736508">
        <w:t xml:space="preserve">noslēgts </w:t>
      </w:r>
      <w:r>
        <w:t>T</w:t>
      </w:r>
      <w:r w:rsidRPr="00197422">
        <w:t>elp</w:t>
      </w:r>
      <w:r>
        <w:t>u</w:t>
      </w:r>
      <w:r w:rsidRPr="00197422">
        <w:t xml:space="preserve"> nomas līgums</w:t>
      </w:r>
      <w:r>
        <w:t xml:space="preserve"> Nr.J-88 </w:t>
      </w:r>
      <w:r w:rsidRPr="00736508">
        <w:t xml:space="preserve">par </w:t>
      </w:r>
      <w:r>
        <w:t>telpu</w:t>
      </w:r>
      <w:r w:rsidRPr="00736508">
        <w:t xml:space="preserve"> </w:t>
      </w:r>
      <w:r w:rsidRPr="00197422">
        <w:t>ar kopējo</w:t>
      </w:r>
      <w:r>
        <w:t xml:space="preserve"> </w:t>
      </w:r>
      <w:r w:rsidRPr="00197422">
        <w:t xml:space="preserve">platību </w:t>
      </w:r>
      <w:r>
        <w:t>155,</w:t>
      </w:r>
      <w:r w:rsidR="00AC7BF4">
        <w:t>0</w:t>
      </w:r>
      <w:r>
        <w:t xml:space="preserve">0 </w:t>
      </w:r>
      <w:r w:rsidRPr="00197422">
        <w:t>m</w:t>
      </w:r>
      <w:r>
        <w:t>² nomu tirdzniecības centrā Rīgas ielā 48</w:t>
      </w:r>
      <w:r w:rsidRPr="00736508">
        <w:t>,</w:t>
      </w:r>
      <w:r>
        <w:t xml:space="preserve"> Jelgavā, </w:t>
      </w:r>
      <w:r w:rsidRPr="00AC7BF4">
        <w:t xml:space="preserve">azartspēļu automātu uzstādīšanai un ekspluatācijai, </w:t>
      </w:r>
      <w:r w:rsidR="00AC7BF4" w:rsidRPr="00AC7BF4">
        <w:t>azart</w:t>
      </w:r>
      <w:r w:rsidRPr="00AC7BF4">
        <w:t xml:space="preserve">spēļu </w:t>
      </w:r>
      <w:r w:rsidR="00AC7BF4" w:rsidRPr="00AC7BF4">
        <w:t xml:space="preserve">(spēļu) </w:t>
      </w:r>
      <w:r w:rsidRPr="00AC7BF4">
        <w:t xml:space="preserve">zālei, bāra ekspluatācijai un ar to saistītai darbībai. </w:t>
      </w:r>
      <w:r w:rsidR="00293C9F" w:rsidRPr="00AC7BF4">
        <w:t>S</w:t>
      </w:r>
      <w:r w:rsidR="00293C9F">
        <w:t>askaņā ar LR Uzņēmumu reģistra informāciju SIA “Garkalns” 2016.gada 23.decembrī reor</w:t>
      </w:r>
      <w:r w:rsidR="00AC7BF4">
        <w:t>ganizēta un pievienota “SIA “Oly</w:t>
      </w:r>
      <w:r w:rsidR="00293C9F">
        <w:t>mpic Casino Latvia”.</w:t>
      </w:r>
    </w:p>
    <w:p w:rsidR="00AC7BF4" w:rsidRDefault="00AC7BF4" w:rsidP="008C7D19">
      <w:pPr>
        <w:ind w:firstLine="567"/>
        <w:jc w:val="both"/>
      </w:pPr>
      <w:r w:rsidRPr="002E1FE8">
        <w:t xml:space="preserve">SIA ”Olympic Casino Latvia” </w:t>
      </w:r>
      <w:r>
        <w:t xml:space="preserve">iesniegusi 2017.gada 18.decembra  apliecinājumu, ka SIA “EfTEN Jelgava” piekrīt, ka </w:t>
      </w:r>
      <w:r w:rsidRPr="00AC7BF4">
        <w:t>SIA ”Olympic Casino Latvia”</w:t>
      </w:r>
      <w:r>
        <w:t xml:space="preserve"> Rīgas ielā 48, Jelgavā organizē totalizatoru un derību likmju pieņemšanas vietu.</w:t>
      </w:r>
    </w:p>
    <w:p w:rsidR="004C58FB" w:rsidRDefault="004C58FB" w:rsidP="008C7D19">
      <w:pPr>
        <w:ind w:firstLine="567"/>
        <w:jc w:val="both"/>
      </w:pPr>
      <w:r>
        <w:t xml:space="preserve">Jelgavas pilsētas dome ar 2014.gada 24.jūlija lēmumu Nr.10/7 “Atļauja spēļu zāles atvēršanai Rīgas ielā 48, Jelgavā” nolēma atļaut SIA </w:t>
      </w:r>
      <w:r w:rsidR="00E97D42">
        <w:t>“</w:t>
      </w:r>
      <w:r>
        <w:t>Post-Nevada” atvērt spēļu zāli un organizēt spēļu automātu spēles Rīgas ielā 48, Jelgavā.</w:t>
      </w:r>
      <w:r w:rsidRPr="004C58FB">
        <w:t xml:space="preserve"> Saskaņā ar LR Uzņēmumu reģistra informāciju </w:t>
      </w:r>
      <w:r w:rsidR="00E97D42">
        <w:t xml:space="preserve">SIA “Post-Nevada” 2015.gada 15.oktobrī reorganizēta un pievienota SIA “Garkalns”, savukārt </w:t>
      </w:r>
      <w:r w:rsidRPr="004C58FB">
        <w:t>SIA “Garkalns” 2016.gada 23.decembrī reorganizēta un pievienota “SIA “Olympic Casino Latvia”.</w:t>
      </w:r>
    </w:p>
    <w:p w:rsidR="00E97D42" w:rsidRDefault="008C7D19" w:rsidP="008C7D19">
      <w:pPr>
        <w:ind w:firstLine="567"/>
        <w:jc w:val="both"/>
      </w:pPr>
      <w:r>
        <w:t xml:space="preserve">Izvērtējot vietas atbilstību Azartspēļu un izložu likuma 41.panta otrajā daļā noteiktajiem ierobežojumiem </w:t>
      </w:r>
      <w:r w:rsidRPr="00543277">
        <w:t xml:space="preserve">un ņemot vērā apstākli, ka </w:t>
      </w:r>
      <w:r>
        <w:t>Rīgas</w:t>
      </w:r>
      <w:r w:rsidRPr="00543277">
        <w:t xml:space="preserve"> ielā </w:t>
      </w:r>
      <w:r>
        <w:t>48</w:t>
      </w:r>
      <w:r w:rsidRPr="00543277">
        <w:t>, Jelgavā azartspēles</w:t>
      </w:r>
      <w:r>
        <w:t xml:space="preserve"> jau </w:t>
      </w:r>
      <w:r w:rsidRPr="00543277">
        <w:t>tiek organizētas, konstatēts, ka</w:t>
      </w:r>
      <w:r>
        <w:t xml:space="preserve"> uz minēto vietu nav attiecināmi likuma 41.panta otrajā daļā noteiktie ierobežojumi, jo azartspēļu -  totalizatora un derību organizēšana konkrētajā vietā nerada būtisku valsts un attiecīgās administratīvās teritorijas iedzīvotāju interešu aizskārumu.</w:t>
      </w:r>
    </w:p>
    <w:p w:rsidR="00E97D42" w:rsidRDefault="00E97D42">
      <w:r>
        <w:br w:type="page"/>
      </w:r>
    </w:p>
    <w:p w:rsidR="008C7D19" w:rsidRPr="004E2E10" w:rsidRDefault="008C7D19" w:rsidP="008C7D19">
      <w:pPr>
        <w:ind w:firstLine="567"/>
        <w:jc w:val="both"/>
      </w:pPr>
      <w:r w:rsidRPr="004E2E10">
        <w:lastRenderedPageBreak/>
        <w:t>Ņemot vērā iepriekšminēto un saskaņā ar</w:t>
      </w:r>
      <w:r>
        <w:t xml:space="preserve"> likuma ”Par pašvaldībām” 15.panta pirmās daļas 11.punktu un </w:t>
      </w:r>
      <w:r w:rsidRPr="004E2E10">
        <w:t>Azartspēļu un izložu likuma 42.panta pirmo</w:t>
      </w:r>
      <w:r>
        <w:t xml:space="preserve">, trešo </w:t>
      </w:r>
      <w:r w:rsidRPr="004E2E10">
        <w:t>un piekto daļu</w:t>
      </w:r>
      <w:r>
        <w:t>,</w:t>
      </w:r>
    </w:p>
    <w:p w:rsidR="008C7D19" w:rsidRPr="007D015E" w:rsidRDefault="008C7D19" w:rsidP="008C7D19">
      <w:pPr>
        <w:pStyle w:val="Header"/>
        <w:tabs>
          <w:tab w:val="clear" w:pos="4320"/>
          <w:tab w:val="clear" w:pos="8640"/>
        </w:tabs>
        <w:ind w:firstLine="567"/>
        <w:jc w:val="both"/>
        <w:rPr>
          <w:b/>
          <w:bCs/>
          <w:sz w:val="18"/>
          <w:szCs w:val="24"/>
          <w:lang w:val="lv-LV"/>
        </w:rPr>
      </w:pPr>
    </w:p>
    <w:p w:rsidR="008C7D19" w:rsidRPr="004E2E10" w:rsidRDefault="008C7D19" w:rsidP="008C7D19">
      <w:pPr>
        <w:pStyle w:val="Header"/>
        <w:tabs>
          <w:tab w:val="clear" w:pos="4320"/>
          <w:tab w:val="clear" w:pos="8640"/>
        </w:tabs>
        <w:ind w:firstLine="567"/>
        <w:jc w:val="both"/>
        <w:rPr>
          <w:b/>
          <w:bCs/>
          <w:szCs w:val="24"/>
          <w:lang w:val="lv-LV"/>
        </w:rPr>
      </w:pPr>
      <w:r w:rsidRPr="004E2E10">
        <w:rPr>
          <w:b/>
          <w:bCs/>
          <w:szCs w:val="24"/>
          <w:lang w:val="lv-LV"/>
        </w:rPr>
        <w:t xml:space="preserve">JELGAVAS </w:t>
      </w:r>
      <w:r>
        <w:rPr>
          <w:b/>
          <w:bCs/>
          <w:szCs w:val="24"/>
          <w:lang w:val="lv-LV"/>
        </w:rPr>
        <w:t xml:space="preserve">PILSĒTAS </w:t>
      </w:r>
      <w:r w:rsidRPr="004E2E10">
        <w:rPr>
          <w:b/>
          <w:bCs/>
          <w:szCs w:val="24"/>
          <w:lang w:val="lv-LV"/>
        </w:rPr>
        <w:t>DOME NOLEMJ:</w:t>
      </w:r>
    </w:p>
    <w:p w:rsidR="008C7D19" w:rsidRPr="007D015E" w:rsidRDefault="008C7D19" w:rsidP="008C7D19">
      <w:pPr>
        <w:pStyle w:val="BodyTextIndent"/>
        <w:spacing w:after="0"/>
        <w:ind w:left="0" w:firstLine="567"/>
        <w:jc w:val="both"/>
        <w:rPr>
          <w:sz w:val="18"/>
        </w:rPr>
      </w:pPr>
    </w:p>
    <w:p w:rsidR="008C7D19" w:rsidRDefault="00752720" w:rsidP="008C7D19">
      <w:pPr>
        <w:pStyle w:val="BodyTextIndent"/>
        <w:ind w:left="0" w:firstLine="567"/>
        <w:jc w:val="both"/>
      </w:pPr>
      <w:r>
        <w:t>Atļaut SIA “</w:t>
      </w:r>
      <w:r w:rsidR="00AC7BF4">
        <w:t>Oly</w:t>
      </w:r>
      <w:r w:rsidR="004711C5" w:rsidRPr="004711C5">
        <w:t>mpic Casino Latvia” (reģistrācijas Nr.40003264397, juridiskā adrese</w:t>
      </w:r>
      <w:r w:rsidR="00545E6C">
        <w:t>:</w:t>
      </w:r>
      <w:r w:rsidR="004711C5" w:rsidRPr="004711C5">
        <w:t xml:space="preserve"> Kronvalda bulvāris 3, Rīga, LV-1010)</w:t>
      </w:r>
      <w:r w:rsidR="008C7D19" w:rsidRPr="004E2E10">
        <w:t xml:space="preserve"> </w:t>
      </w:r>
      <w:r w:rsidR="00AC7BF4">
        <w:t>atvērt totalizatoru</w:t>
      </w:r>
      <w:r w:rsidR="008C7D19" w:rsidRPr="00711D10">
        <w:t xml:space="preserve"> </w:t>
      </w:r>
      <w:r w:rsidR="008C7D19">
        <w:t>un</w:t>
      </w:r>
      <w:r w:rsidR="008C7D19" w:rsidRPr="00711D10">
        <w:t xml:space="preserve"> derību</w:t>
      </w:r>
      <w:r w:rsidR="008C7D19">
        <w:t xml:space="preserve"> likmju</w:t>
      </w:r>
      <w:r w:rsidR="008C7D19" w:rsidRPr="00711D10">
        <w:t xml:space="preserve"> pieņemšanas vietu un</w:t>
      </w:r>
      <w:r w:rsidR="008C7D19">
        <w:t xml:space="preserve"> organizēt azartspēles - totalizatoru un derības </w:t>
      </w:r>
      <w:r w:rsidR="00E74741">
        <w:t>Rīgas ielā 48</w:t>
      </w:r>
      <w:r w:rsidR="008C7D19">
        <w:t>,</w:t>
      </w:r>
      <w:r w:rsidR="008C7D19" w:rsidRPr="004E2E10">
        <w:t xml:space="preserve"> </w:t>
      </w:r>
      <w:r w:rsidR="008C7D19">
        <w:t>Jelgavā.</w:t>
      </w:r>
    </w:p>
    <w:p w:rsidR="00CC0D3C" w:rsidRPr="00A31518" w:rsidRDefault="008C7D19" w:rsidP="008C7D19">
      <w:pPr>
        <w:pStyle w:val="BodyTextIndent"/>
        <w:ind w:left="0" w:firstLine="567"/>
        <w:jc w:val="both"/>
      </w:pPr>
      <w:r>
        <w:tab/>
      </w:r>
      <w:r w:rsidR="00CC0D3C">
        <w:t>Šo administratīvo aktu</w:t>
      </w:r>
      <w:r w:rsidR="00CC0D3C" w:rsidRPr="00A31518">
        <w:t xml:space="preserve"> viena mēneša laikā var pārsūdzēt Administratīvās rajona tiesas Jelgavas tiesu namā (Atmodas ielā 19, Jelgavā, LV-3007).</w:t>
      </w:r>
    </w:p>
    <w:p w:rsidR="00CC0D3C" w:rsidRPr="00F66956" w:rsidRDefault="00CC0D3C" w:rsidP="00CC0D3C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3E23A9" w:rsidRPr="003E23A9" w:rsidRDefault="003E23A9" w:rsidP="003E23A9">
      <w:pPr>
        <w:jc w:val="both"/>
      </w:pPr>
      <w:r w:rsidRPr="003E23A9">
        <w:t>Domes priekšsēdētājs</w:t>
      </w:r>
      <w:r w:rsidRPr="003E23A9">
        <w:tab/>
      </w:r>
      <w:r w:rsidRPr="003E23A9">
        <w:tab/>
      </w:r>
      <w:r w:rsidRPr="003E23A9">
        <w:tab/>
      </w:r>
      <w:r w:rsidRPr="003E23A9">
        <w:tab/>
      </w:r>
      <w:r w:rsidRPr="003E23A9">
        <w:rPr>
          <w:color w:val="000000"/>
        </w:rPr>
        <w:t>(paraksts)</w:t>
      </w:r>
      <w:r w:rsidRPr="003E23A9">
        <w:tab/>
      </w:r>
      <w:r w:rsidRPr="003E23A9">
        <w:tab/>
      </w:r>
      <w:r w:rsidRPr="003E23A9">
        <w:tab/>
        <w:t>A.Rāviņš</w:t>
      </w:r>
    </w:p>
    <w:p w:rsidR="003E23A9" w:rsidRPr="003E23A9" w:rsidRDefault="003E23A9" w:rsidP="003E23A9">
      <w:pPr>
        <w:rPr>
          <w:color w:val="000000"/>
          <w:lang w:eastAsia="lv-LV"/>
        </w:rPr>
      </w:pPr>
    </w:p>
    <w:p w:rsidR="003E23A9" w:rsidRPr="003E23A9" w:rsidRDefault="003E23A9" w:rsidP="003E23A9">
      <w:pPr>
        <w:rPr>
          <w:color w:val="000000"/>
          <w:lang w:eastAsia="lv-LV"/>
        </w:rPr>
      </w:pPr>
      <w:r w:rsidRPr="003E23A9">
        <w:rPr>
          <w:color w:val="000000"/>
          <w:lang w:eastAsia="lv-LV"/>
        </w:rPr>
        <w:t>NORAKSTS PAREIZS</w:t>
      </w:r>
    </w:p>
    <w:p w:rsidR="003E23A9" w:rsidRPr="003E23A9" w:rsidRDefault="003E23A9" w:rsidP="003E23A9">
      <w:pPr>
        <w:tabs>
          <w:tab w:val="left" w:pos="3960"/>
        </w:tabs>
        <w:jc w:val="both"/>
      </w:pPr>
      <w:r w:rsidRPr="003E23A9">
        <w:t xml:space="preserve">Administratīvās pārvaldes </w:t>
      </w:r>
    </w:p>
    <w:p w:rsidR="003E23A9" w:rsidRPr="003E23A9" w:rsidRDefault="003E23A9" w:rsidP="003E23A9">
      <w:pPr>
        <w:tabs>
          <w:tab w:val="left" w:pos="3960"/>
        </w:tabs>
        <w:jc w:val="both"/>
      </w:pPr>
      <w:r w:rsidRPr="003E23A9">
        <w:t>Kancelejas vadītāja</w:t>
      </w:r>
      <w:r w:rsidRPr="003E23A9">
        <w:tab/>
      </w:r>
      <w:r w:rsidRPr="003E23A9">
        <w:tab/>
      </w:r>
      <w:r w:rsidRPr="003E23A9">
        <w:tab/>
      </w:r>
      <w:r w:rsidRPr="003E23A9">
        <w:tab/>
      </w:r>
      <w:r w:rsidRPr="003E23A9">
        <w:tab/>
      </w:r>
      <w:r w:rsidRPr="003E23A9">
        <w:tab/>
        <w:t>S.Ozoliņa</w:t>
      </w:r>
    </w:p>
    <w:p w:rsidR="003E23A9" w:rsidRPr="003E23A9" w:rsidRDefault="003E23A9" w:rsidP="003E23A9">
      <w:pPr>
        <w:jc w:val="both"/>
      </w:pPr>
      <w:r w:rsidRPr="003E23A9">
        <w:t>2018.gada 26.janvārī</w:t>
      </w:r>
    </w:p>
    <w:sectPr w:rsidR="003E23A9" w:rsidRPr="003E23A9" w:rsidSect="003B6CFD">
      <w:footerReference w:type="default" r:id="rId8"/>
      <w:headerReference w:type="first" r:id="rId9"/>
      <w:footerReference w:type="first" r:id="rId10"/>
      <w:pgSz w:w="11906" w:h="16838" w:code="9"/>
      <w:pgMar w:top="1134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4B" w:rsidRDefault="00640B4B">
      <w:r>
        <w:separator/>
      </w:r>
    </w:p>
  </w:endnote>
  <w:endnote w:type="continuationSeparator" w:id="0">
    <w:p w:rsidR="00640B4B" w:rsidRDefault="0064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647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721" w:rsidRDefault="00885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5721" w:rsidRDefault="00885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97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721" w:rsidRDefault="00885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4B" w:rsidRDefault="00640B4B">
      <w:r>
        <w:separator/>
      </w:r>
    </w:p>
  </w:footnote>
  <w:footnote w:type="continuationSeparator" w:id="0">
    <w:p w:rsidR="00640B4B" w:rsidRDefault="0064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1759736" wp14:editId="5736CD0E">
          <wp:extent cx="704850" cy="847725"/>
          <wp:effectExtent l="0" t="0" r="0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4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C31617"/>
    <w:multiLevelType w:val="multilevel"/>
    <w:tmpl w:val="5A8C4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BF506B4"/>
    <w:multiLevelType w:val="hybridMultilevel"/>
    <w:tmpl w:val="723E2F98"/>
    <w:lvl w:ilvl="0" w:tplc="621EA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B23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E"/>
    <w:rsid w:val="0003269A"/>
    <w:rsid w:val="00053244"/>
    <w:rsid w:val="000A0BEE"/>
    <w:rsid w:val="000A2150"/>
    <w:rsid w:val="000C4CB0"/>
    <w:rsid w:val="000C574F"/>
    <w:rsid w:val="000D0BF7"/>
    <w:rsid w:val="000D2746"/>
    <w:rsid w:val="000D3987"/>
    <w:rsid w:val="000E4EB6"/>
    <w:rsid w:val="00122F28"/>
    <w:rsid w:val="001244F9"/>
    <w:rsid w:val="00153107"/>
    <w:rsid w:val="00157FB5"/>
    <w:rsid w:val="001634CF"/>
    <w:rsid w:val="00165B9B"/>
    <w:rsid w:val="00197F0A"/>
    <w:rsid w:val="001B2E18"/>
    <w:rsid w:val="001B35DD"/>
    <w:rsid w:val="001C104F"/>
    <w:rsid w:val="001E1F69"/>
    <w:rsid w:val="001E4994"/>
    <w:rsid w:val="001E55AE"/>
    <w:rsid w:val="001F343E"/>
    <w:rsid w:val="002051D3"/>
    <w:rsid w:val="00206FB4"/>
    <w:rsid w:val="00213678"/>
    <w:rsid w:val="00225D32"/>
    <w:rsid w:val="002403A9"/>
    <w:rsid w:val="002438AA"/>
    <w:rsid w:val="00254C97"/>
    <w:rsid w:val="002645F3"/>
    <w:rsid w:val="0029227E"/>
    <w:rsid w:val="00293C9F"/>
    <w:rsid w:val="002A3D71"/>
    <w:rsid w:val="002A71EA"/>
    <w:rsid w:val="002B2E68"/>
    <w:rsid w:val="002B6505"/>
    <w:rsid w:val="002D745A"/>
    <w:rsid w:val="00303223"/>
    <w:rsid w:val="0031251F"/>
    <w:rsid w:val="00342504"/>
    <w:rsid w:val="00351F56"/>
    <w:rsid w:val="00372BCB"/>
    <w:rsid w:val="003734E8"/>
    <w:rsid w:val="003739DF"/>
    <w:rsid w:val="003959A1"/>
    <w:rsid w:val="003B6CAD"/>
    <w:rsid w:val="003B6CFD"/>
    <w:rsid w:val="003D12D3"/>
    <w:rsid w:val="003D5C89"/>
    <w:rsid w:val="003E23A9"/>
    <w:rsid w:val="00415156"/>
    <w:rsid w:val="004407DF"/>
    <w:rsid w:val="0044759D"/>
    <w:rsid w:val="004643E0"/>
    <w:rsid w:val="004711C5"/>
    <w:rsid w:val="004750BD"/>
    <w:rsid w:val="004B0705"/>
    <w:rsid w:val="004C58FB"/>
    <w:rsid w:val="004C6083"/>
    <w:rsid w:val="004D47D9"/>
    <w:rsid w:val="004F7AB8"/>
    <w:rsid w:val="00540422"/>
    <w:rsid w:val="00545E6C"/>
    <w:rsid w:val="005563A4"/>
    <w:rsid w:val="00577433"/>
    <w:rsid w:val="00577970"/>
    <w:rsid w:val="005931AB"/>
    <w:rsid w:val="005951E5"/>
    <w:rsid w:val="005B31B4"/>
    <w:rsid w:val="005C16E7"/>
    <w:rsid w:val="005E56A9"/>
    <w:rsid w:val="005F7C81"/>
    <w:rsid w:val="0060052E"/>
    <w:rsid w:val="0060175D"/>
    <w:rsid w:val="00611F51"/>
    <w:rsid w:val="006166D8"/>
    <w:rsid w:val="00620B03"/>
    <w:rsid w:val="0063151B"/>
    <w:rsid w:val="00631B8B"/>
    <w:rsid w:val="00640B4B"/>
    <w:rsid w:val="006457D0"/>
    <w:rsid w:val="0065624F"/>
    <w:rsid w:val="006604E7"/>
    <w:rsid w:val="0066324F"/>
    <w:rsid w:val="006837B5"/>
    <w:rsid w:val="006C0175"/>
    <w:rsid w:val="006D62C3"/>
    <w:rsid w:val="006E53DF"/>
    <w:rsid w:val="0071515F"/>
    <w:rsid w:val="00715F28"/>
    <w:rsid w:val="00720161"/>
    <w:rsid w:val="00721F44"/>
    <w:rsid w:val="00732299"/>
    <w:rsid w:val="007419F0"/>
    <w:rsid w:val="00751B43"/>
    <w:rsid w:val="00752422"/>
    <w:rsid w:val="00752720"/>
    <w:rsid w:val="0075736A"/>
    <w:rsid w:val="0076543C"/>
    <w:rsid w:val="00786451"/>
    <w:rsid w:val="007C22C1"/>
    <w:rsid w:val="007C51F6"/>
    <w:rsid w:val="007E02D0"/>
    <w:rsid w:val="007F1C33"/>
    <w:rsid w:val="007F54F5"/>
    <w:rsid w:val="00802131"/>
    <w:rsid w:val="00807AB7"/>
    <w:rsid w:val="0081289A"/>
    <w:rsid w:val="00827057"/>
    <w:rsid w:val="008562DC"/>
    <w:rsid w:val="00880030"/>
    <w:rsid w:val="00884FDB"/>
    <w:rsid w:val="00885721"/>
    <w:rsid w:val="0089092B"/>
    <w:rsid w:val="00892EB6"/>
    <w:rsid w:val="008C7D19"/>
    <w:rsid w:val="008F7ABC"/>
    <w:rsid w:val="00902EED"/>
    <w:rsid w:val="0093422D"/>
    <w:rsid w:val="00941794"/>
    <w:rsid w:val="00946181"/>
    <w:rsid w:val="00956EBC"/>
    <w:rsid w:val="0097415D"/>
    <w:rsid w:val="00984123"/>
    <w:rsid w:val="0099144A"/>
    <w:rsid w:val="009A0FB7"/>
    <w:rsid w:val="009A34A3"/>
    <w:rsid w:val="009C00E0"/>
    <w:rsid w:val="009C4D51"/>
    <w:rsid w:val="009D4D1E"/>
    <w:rsid w:val="00A10A8D"/>
    <w:rsid w:val="00A11255"/>
    <w:rsid w:val="00A4481C"/>
    <w:rsid w:val="00A81E75"/>
    <w:rsid w:val="00A867C4"/>
    <w:rsid w:val="00AA2DD3"/>
    <w:rsid w:val="00AA6D58"/>
    <w:rsid w:val="00AB4CEB"/>
    <w:rsid w:val="00AB675E"/>
    <w:rsid w:val="00AC1757"/>
    <w:rsid w:val="00AC7BF4"/>
    <w:rsid w:val="00AF0D5F"/>
    <w:rsid w:val="00AF1488"/>
    <w:rsid w:val="00B03FD3"/>
    <w:rsid w:val="00B140C5"/>
    <w:rsid w:val="00B17C19"/>
    <w:rsid w:val="00B35B4C"/>
    <w:rsid w:val="00B51C9C"/>
    <w:rsid w:val="00B53C34"/>
    <w:rsid w:val="00B64D4D"/>
    <w:rsid w:val="00BB6A92"/>
    <w:rsid w:val="00BB795F"/>
    <w:rsid w:val="00BC5858"/>
    <w:rsid w:val="00BE2393"/>
    <w:rsid w:val="00C2710B"/>
    <w:rsid w:val="00C36D3B"/>
    <w:rsid w:val="00C516D8"/>
    <w:rsid w:val="00C75E2C"/>
    <w:rsid w:val="00C85079"/>
    <w:rsid w:val="00C85668"/>
    <w:rsid w:val="00C86BBA"/>
    <w:rsid w:val="00C9728B"/>
    <w:rsid w:val="00CA0990"/>
    <w:rsid w:val="00CA1BA6"/>
    <w:rsid w:val="00CC0D3C"/>
    <w:rsid w:val="00CD005C"/>
    <w:rsid w:val="00CD139B"/>
    <w:rsid w:val="00CE1F14"/>
    <w:rsid w:val="00CE38F8"/>
    <w:rsid w:val="00CF4B27"/>
    <w:rsid w:val="00D00D85"/>
    <w:rsid w:val="00D1121C"/>
    <w:rsid w:val="00D201F0"/>
    <w:rsid w:val="00D41C6C"/>
    <w:rsid w:val="00D53E9C"/>
    <w:rsid w:val="00D76F5B"/>
    <w:rsid w:val="00DC5428"/>
    <w:rsid w:val="00DD5ACB"/>
    <w:rsid w:val="00DE7E38"/>
    <w:rsid w:val="00E54496"/>
    <w:rsid w:val="00E61AB9"/>
    <w:rsid w:val="00E74741"/>
    <w:rsid w:val="00E8139A"/>
    <w:rsid w:val="00E81A1D"/>
    <w:rsid w:val="00E83B35"/>
    <w:rsid w:val="00E87E04"/>
    <w:rsid w:val="00E97D42"/>
    <w:rsid w:val="00EA770A"/>
    <w:rsid w:val="00EB10AE"/>
    <w:rsid w:val="00EB3636"/>
    <w:rsid w:val="00EC3FC4"/>
    <w:rsid w:val="00EC4C76"/>
    <w:rsid w:val="00EC518D"/>
    <w:rsid w:val="00ED2110"/>
    <w:rsid w:val="00ED5015"/>
    <w:rsid w:val="00EE1A74"/>
    <w:rsid w:val="00F26FCB"/>
    <w:rsid w:val="00F46813"/>
    <w:rsid w:val="00F51AB4"/>
    <w:rsid w:val="00F80745"/>
    <w:rsid w:val="00F848CF"/>
    <w:rsid w:val="00F965A4"/>
    <w:rsid w:val="00FA071A"/>
    <w:rsid w:val="00FB6B06"/>
    <w:rsid w:val="00FB7367"/>
    <w:rsid w:val="00FC4CB8"/>
    <w:rsid w:val="00FD76F7"/>
    <w:rsid w:val="00FD7DAE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D2746"/>
    <w:rPr>
      <w:sz w:val="24"/>
      <w:lang w:val="en-US"/>
    </w:rPr>
  </w:style>
  <w:style w:type="character" w:customStyle="1" w:styleId="BodyTextChar">
    <w:name w:val="Body Text Char"/>
    <w:link w:val="BodyText"/>
    <w:rsid w:val="00CC0D3C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8C7D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7D1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572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D2746"/>
    <w:rPr>
      <w:sz w:val="24"/>
      <w:lang w:val="en-US"/>
    </w:rPr>
  </w:style>
  <w:style w:type="character" w:customStyle="1" w:styleId="BodyTextChar">
    <w:name w:val="Body Text Char"/>
    <w:link w:val="BodyText"/>
    <w:rsid w:val="00CC0D3C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8C7D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7D1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572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428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Spīdola Ozoliņa</dc:creator>
  <cp:lastModifiedBy>Spīdola Ozoliņa</cp:lastModifiedBy>
  <cp:revision>14</cp:revision>
  <cp:lastPrinted>2018-01-25T13:22:00Z</cp:lastPrinted>
  <dcterms:created xsi:type="dcterms:W3CDTF">2017-12-28T14:24:00Z</dcterms:created>
  <dcterms:modified xsi:type="dcterms:W3CDTF">2018-01-25T13:22:00Z</dcterms:modified>
</cp:coreProperties>
</file>