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1DA" w:rsidRDefault="001B21DA" w:rsidP="001B21DA">
      <w:r>
        <w:t xml:space="preserve">                                                                       </w:t>
      </w:r>
    </w:p>
    <w:p w:rsidR="001B21DA" w:rsidRPr="00037E8B" w:rsidRDefault="001B21DA" w:rsidP="001B21DA">
      <w:pPr>
        <w:jc w:val="right"/>
      </w:pPr>
      <w:r w:rsidRPr="00037E8B">
        <w:t xml:space="preserve">Jelgavā, </w:t>
      </w:r>
      <w:r>
        <w:t>2018.gada 22</w:t>
      </w:r>
      <w:r w:rsidRPr="00037E8B">
        <w:t>.</w:t>
      </w:r>
      <w:r>
        <w:t xml:space="preserve"> novembra</w:t>
      </w:r>
      <w:r w:rsidRPr="00037E8B">
        <w:t xml:space="preserve"> (prot. Nr.</w:t>
      </w:r>
      <w:r w:rsidR="008D6DEE">
        <w:t>14</w:t>
      </w:r>
      <w:r w:rsidR="00E61693">
        <w:t>,p.</w:t>
      </w:r>
      <w:r w:rsidR="008D6DEE">
        <w:t>1</w:t>
      </w:r>
      <w:r w:rsidRPr="00037E8B">
        <w:t>)</w:t>
      </w:r>
    </w:p>
    <w:p w:rsidR="001B21DA" w:rsidRPr="00037E8B" w:rsidRDefault="001B21DA" w:rsidP="001B21DA">
      <w:pPr>
        <w:pStyle w:val="Heading4"/>
        <w:jc w:val="left"/>
        <w:rPr>
          <w:i w:val="0"/>
          <w:iCs w:val="0"/>
          <w:sz w:val="20"/>
          <w:szCs w:val="20"/>
        </w:rPr>
      </w:pPr>
    </w:p>
    <w:p w:rsidR="0013356D" w:rsidRPr="00037E8B" w:rsidRDefault="0013356D" w:rsidP="001B21DA">
      <w:pPr>
        <w:rPr>
          <w:lang w:eastAsia="en-US"/>
        </w:rPr>
      </w:pPr>
    </w:p>
    <w:p w:rsidR="001B21DA" w:rsidRPr="00037E8B" w:rsidRDefault="001B21DA" w:rsidP="001B21DA">
      <w:pPr>
        <w:keepNext/>
        <w:keepLines/>
        <w:jc w:val="center"/>
        <w:rPr>
          <w:b/>
          <w:bCs/>
          <w:szCs w:val="44"/>
        </w:rPr>
      </w:pPr>
      <w:r w:rsidRPr="00037E8B">
        <w:rPr>
          <w:b/>
        </w:rPr>
        <w:t xml:space="preserve">JELGAVAS PILSĒTAS PAŠVALDĪBAS </w:t>
      </w:r>
      <w:r>
        <w:rPr>
          <w:b/>
          <w:bCs/>
          <w:szCs w:val="44"/>
        </w:rPr>
        <w:t>2018.GADA 22.NOVEMBRA</w:t>
      </w:r>
      <w:r w:rsidRPr="00037E8B">
        <w:rPr>
          <w:b/>
          <w:bCs/>
          <w:szCs w:val="44"/>
        </w:rPr>
        <w:t xml:space="preserve"> </w:t>
      </w:r>
    </w:p>
    <w:p w:rsidR="001B21DA" w:rsidRPr="00037E8B" w:rsidRDefault="001B21DA" w:rsidP="001B21DA">
      <w:pPr>
        <w:keepNext/>
        <w:keepLines/>
        <w:jc w:val="center"/>
        <w:rPr>
          <w:b/>
          <w:bCs/>
          <w:szCs w:val="44"/>
        </w:rPr>
      </w:pPr>
      <w:r w:rsidRPr="00037E8B">
        <w:rPr>
          <w:b/>
          <w:bCs/>
          <w:szCs w:val="44"/>
        </w:rPr>
        <w:t>SAISTOŠIE NOTEIKUMI NR.</w:t>
      </w:r>
      <w:r w:rsidR="008D6DEE">
        <w:rPr>
          <w:b/>
          <w:bCs/>
          <w:szCs w:val="44"/>
        </w:rPr>
        <w:t>18-17</w:t>
      </w:r>
      <w:r w:rsidRPr="00037E8B">
        <w:rPr>
          <w:b/>
          <w:bCs/>
          <w:szCs w:val="44"/>
        </w:rPr>
        <w:t xml:space="preserve"> </w:t>
      </w:r>
    </w:p>
    <w:p w:rsidR="001B21DA" w:rsidRPr="00037E8B" w:rsidRDefault="001B21DA" w:rsidP="001B21DA">
      <w:pPr>
        <w:pStyle w:val="BodyText"/>
        <w:rPr>
          <w:u w:val="none"/>
        </w:rPr>
      </w:pPr>
      <w:r w:rsidRPr="00037E8B">
        <w:rPr>
          <w:u w:val="none"/>
        </w:rPr>
        <w:t xml:space="preserve">“GROZĪJUMI JELGAVAS PILSĒTAS PAŠVALDĪBAS 2015.GADA 29.JANVĀRA SAISTOŠAJOS NOTEIKUMOS NR.15-2 </w:t>
      </w:r>
    </w:p>
    <w:p w:rsidR="001B21DA" w:rsidRPr="00037E8B" w:rsidRDefault="001B21DA" w:rsidP="001B21DA">
      <w:pPr>
        <w:pStyle w:val="BodyText"/>
        <w:rPr>
          <w:u w:val="none"/>
        </w:rPr>
      </w:pPr>
      <w:r w:rsidRPr="00037E8B">
        <w:rPr>
          <w:u w:val="none"/>
        </w:rPr>
        <w:t>“ATVIEGLOJUMU PIEŠĶIRŠANA NEKUSTAMĀ ĪPAŠUMA NODOKĻA MAKSĀTĀJIEM JELGAVAS PILSĒTĀ””</w:t>
      </w:r>
    </w:p>
    <w:p w:rsidR="0013356D" w:rsidRDefault="0013356D" w:rsidP="001B21DA">
      <w:pPr>
        <w:rPr>
          <w:lang w:eastAsia="en-US"/>
        </w:rPr>
      </w:pPr>
    </w:p>
    <w:p w:rsidR="0013356D" w:rsidRPr="00037E8B" w:rsidRDefault="0013356D" w:rsidP="001B21DA">
      <w:pPr>
        <w:rPr>
          <w:lang w:eastAsia="en-US"/>
        </w:rPr>
      </w:pPr>
    </w:p>
    <w:p w:rsidR="001B21DA" w:rsidRPr="00037E8B" w:rsidRDefault="001B21DA" w:rsidP="001B21DA">
      <w:pPr>
        <w:jc w:val="right"/>
        <w:rPr>
          <w:i/>
        </w:rPr>
      </w:pPr>
      <w:r w:rsidRPr="00037E8B">
        <w:rPr>
          <w:i/>
        </w:rPr>
        <w:t xml:space="preserve">Izdoti saskaņā ar likuma "Par pašvaldībām" </w:t>
      </w:r>
    </w:p>
    <w:p w:rsidR="001B21DA" w:rsidRPr="00037E8B" w:rsidRDefault="001B21DA" w:rsidP="001B21DA">
      <w:pPr>
        <w:jc w:val="right"/>
        <w:rPr>
          <w:i/>
        </w:rPr>
      </w:pPr>
      <w:r w:rsidRPr="00037E8B">
        <w:rPr>
          <w:i/>
        </w:rPr>
        <w:t>14.panta pirmās daļas 3.punktu un</w:t>
      </w:r>
    </w:p>
    <w:p w:rsidR="001B21DA" w:rsidRPr="00037E8B" w:rsidRDefault="001B21DA" w:rsidP="001B21DA">
      <w:pPr>
        <w:jc w:val="right"/>
        <w:rPr>
          <w:i/>
        </w:rPr>
      </w:pPr>
      <w:r w:rsidRPr="00037E8B">
        <w:rPr>
          <w:i/>
        </w:rPr>
        <w:t xml:space="preserve"> likuma "Par nekustamā īpašuma nodokli" </w:t>
      </w:r>
    </w:p>
    <w:p w:rsidR="001B21DA" w:rsidRPr="00890091" w:rsidRDefault="001B21DA" w:rsidP="001B21DA">
      <w:pPr>
        <w:jc w:val="right"/>
        <w:rPr>
          <w:i/>
        </w:rPr>
      </w:pPr>
      <w:r w:rsidRPr="00037E8B">
        <w:rPr>
          <w:i/>
        </w:rPr>
        <w:t>5.panta trešo un ceturto daļu</w:t>
      </w:r>
    </w:p>
    <w:p w:rsidR="001B21DA" w:rsidRDefault="001B21DA" w:rsidP="00002A66"/>
    <w:p w:rsidR="0013356D" w:rsidRPr="00670A40" w:rsidRDefault="0013356D" w:rsidP="00002A66"/>
    <w:p w:rsidR="001B21DA" w:rsidRPr="00670A40" w:rsidRDefault="001B21DA" w:rsidP="001B21DA">
      <w:pPr>
        <w:ind w:firstLine="720"/>
        <w:jc w:val="both"/>
      </w:pPr>
      <w:r w:rsidRPr="00670A40">
        <w:t xml:space="preserve">Izdarīt Jelgavas pilsētas pašvaldības 2015.gada 29.janvāra </w:t>
      </w:r>
      <w:r>
        <w:t>saistošajos noteikumos Nr.15-2 “</w:t>
      </w:r>
      <w:r w:rsidRPr="00670A40">
        <w:t xml:space="preserve">Atvieglojumu piešķiršana nekustamā īpašuma nodokļa </w:t>
      </w:r>
      <w:r>
        <w:t>m</w:t>
      </w:r>
      <w:r w:rsidR="00413AE0">
        <w:t>aksātājiem Jelgavas pilsētā” (Latvijas Vēstnesis</w:t>
      </w:r>
      <w:r>
        <w:t>,</w:t>
      </w:r>
      <w:r w:rsidR="00413AE0" w:rsidRPr="00413AE0">
        <w:t xml:space="preserve"> </w:t>
      </w:r>
      <w:r w:rsidR="00413AE0">
        <w:t>2015.</w:t>
      </w:r>
      <w:r>
        <w:t xml:space="preserve"> 36 nr.</w:t>
      </w:r>
      <w:r w:rsidR="00413AE0">
        <w:t>;</w:t>
      </w:r>
      <w:r>
        <w:t xml:space="preserve"> </w:t>
      </w:r>
      <w:r w:rsidR="00413AE0">
        <w:t>2016.</w:t>
      </w:r>
      <w:r>
        <w:t>28 nr.</w:t>
      </w:r>
      <w:r w:rsidR="00413AE0">
        <w:t>;</w:t>
      </w:r>
      <w:r w:rsidR="00413AE0" w:rsidRPr="00413AE0">
        <w:t xml:space="preserve"> </w:t>
      </w:r>
      <w:r w:rsidR="00413AE0">
        <w:t>2018.</w:t>
      </w:r>
      <w:r>
        <w:t xml:space="preserve"> 91 nr.,</w:t>
      </w:r>
      <w:r w:rsidR="00413AE0" w:rsidRPr="00413AE0">
        <w:t xml:space="preserve"> </w:t>
      </w:r>
      <w:r w:rsidR="00413AE0">
        <w:t>2017.</w:t>
      </w:r>
      <w:r>
        <w:t xml:space="preserve"> 194 nr.) </w:t>
      </w:r>
      <w:r w:rsidRPr="00670A40">
        <w:t>šādus grozījumus:</w:t>
      </w:r>
    </w:p>
    <w:p w:rsidR="001B21DA" w:rsidRPr="00670A40" w:rsidRDefault="001B21DA" w:rsidP="001B21DA">
      <w:pPr>
        <w:jc w:val="both"/>
      </w:pPr>
    </w:p>
    <w:p w:rsidR="00C424B2" w:rsidRPr="00F96726" w:rsidRDefault="00C424B2" w:rsidP="0013356D">
      <w:pPr>
        <w:pStyle w:val="ListParagraph"/>
        <w:numPr>
          <w:ilvl w:val="0"/>
          <w:numId w:val="1"/>
        </w:numPr>
        <w:jc w:val="both"/>
      </w:pPr>
      <w:r w:rsidRPr="00F96726">
        <w:t xml:space="preserve">Izteikt </w:t>
      </w:r>
      <w:r w:rsidR="00413AE0" w:rsidRPr="00F96726">
        <w:t xml:space="preserve">2.punkta tabulas ailē “Nodokļu maksātāju kategorijas” </w:t>
      </w:r>
      <w:r w:rsidR="001B21DA" w:rsidRPr="00F96726">
        <w:t xml:space="preserve">2.1. apakšpunktu </w:t>
      </w:r>
      <w:r w:rsidRPr="00F96726">
        <w:t>šādā redakcijā:</w:t>
      </w:r>
    </w:p>
    <w:p w:rsidR="00C424B2" w:rsidRPr="00F96726" w:rsidRDefault="00413AE0" w:rsidP="0013356D">
      <w:pPr>
        <w:pStyle w:val="ListParagraph"/>
        <w:jc w:val="both"/>
      </w:pPr>
      <w:r w:rsidRPr="00F96726">
        <w:t>“2.1. nestrādājošam pensionāram, personai ar I vai II grupas invaliditāti, vai nestrādājošai personai ar III grupas invaliditāti, ar nosacījumu, ka minētajām personām nav I šķi</w:t>
      </w:r>
      <w:r w:rsidR="0013356D" w:rsidRPr="00F96726">
        <w:t>ras likumisko mantinieku un kuras</w:t>
      </w:r>
      <w:r w:rsidRPr="00F96726">
        <w:t xml:space="preserve"> ienākumi mēnesī nepārsniedz Ministru kabineta noteikto minimālo darba algu”</w:t>
      </w:r>
      <w:r w:rsidR="000944B1">
        <w:t>.</w:t>
      </w:r>
    </w:p>
    <w:p w:rsidR="00C424B2" w:rsidRPr="00F96726" w:rsidRDefault="00C424B2" w:rsidP="00002A66"/>
    <w:p w:rsidR="00C424B2" w:rsidRPr="00F96726" w:rsidRDefault="0013356D" w:rsidP="0013356D">
      <w:pPr>
        <w:pStyle w:val="ListParagraph"/>
        <w:numPr>
          <w:ilvl w:val="0"/>
          <w:numId w:val="1"/>
        </w:numPr>
        <w:jc w:val="both"/>
      </w:pPr>
      <w:r w:rsidRPr="00F96726">
        <w:t xml:space="preserve">Aizstāt </w:t>
      </w:r>
      <w:r w:rsidR="00C424B2" w:rsidRPr="00F96726">
        <w:t xml:space="preserve">2.punkta </w:t>
      </w:r>
      <w:r w:rsidRPr="00F96726">
        <w:t xml:space="preserve">tabulas ailē “Nodokļu maksātāju kategorijas” </w:t>
      </w:r>
      <w:r w:rsidR="00C424B2" w:rsidRPr="00F96726">
        <w:t xml:space="preserve">2.2. </w:t>
      </w:r>
      <w:r w:rsidRPr="00F96726">
        <w:t>apakšpunktā vārdus “pirmās vai otrās grupas invalīdi” ar vārdiem un skaitļiem “personas ar I vai II grupas invaliditāti”.</w:t>
      </w:r>
      <w:r w:rsidR="00C424B2" w:rsidRPr="00F96726">
        <w:t xml:space="preserve"> </w:t>
      </w:r>
    </w:p>
    <w:p w:rsidR="00C424B2" w:rsidRPr="00F96726" w:rsidRDefault="00C424B2" w:rsidP="00C424B2">
      <w:pPr>
        <w:jc w:val="both"/>
      </w:pPr>
    </w:p>
    <w:p w:rsidR="001B21DA" w:rsidRPr="00F96726" w:rsidRDefault="001B21DA" w:rsidP="001B21DA">
      <w:pPr>
        <w:pStyle w:val="ListParagraph"/>
        <w:numPr>
          <w:ilvl w:val="0"/>
          <w:numId w:val="1"/>
        </w:numPr>
        <w:jc w:val="both"/>
      </w:pPr>
      <w:r w:rsidRPr="00F96726">
        <w:t>Papildināt</w:t>
      </w:r>
      <w:r w:rsidR="0013356D" w:rsidRPr="00F96726">
        <w:t xml:space="preserve"> 2.punktu</w:t>
      </w:r>
      <w:r w:rsidRPr="00F96726">
        <w:t xml:space="preserve"> ar 2.2.</w:t>
      </w:r>
      <w:r w:rsidRPr="00F96726">
        <w:rPr>
          <w:vertAlign w:val="superscript"/>
        </w:rPr>
        <w:t xml:space="preserve">1 </w:t>
      </w:r>
      <w:r w:rsidRPr="00F96726">
        <w:t>apakšpunktu šādā redakcijā:</w:t>
      </w:r>
    </w:p>
    <w:p w:rsidR="001B21DA" w:rsidRPr="00F96726" w:rsidRDefault="001B21DA" w:rsidP="001B21DA">
      <w:pPr>
        <w:ind w:firstLine="360"/>
        <w:jc w:val="both"/>
      </w:pPr>
      <w:r w:rsidRPr="00F96726">
        <w:t xml:space="preserve">      </w:t>
      </w:r>
    </w:p>
    <w:tbl>
      <w:tblPr>
        <w:tblStyle w:val="TableGrid"/>
        <w:tblW w:w="8963" w:type="dxa"/>
        <w:tblInd w:w="704" w:type="dxa"/>
        <w:tblLook w:val="04A0" w:firstRow="1" w:lastRow="0" w:firstColumn="1" w:lastColumn="0" w:noHBand="0" w:noVBand="1"/>
      </w:tblPr>
      <w:tblGrid>
        <w:gridCol w:w="6724"/>
        <w:gridCol w:w="1760"/>
        <w:gridCol w:w="479"/>
      </w:tblGrid>
      <w:tr w:rsidR="00F96726" w:rsidRPr="00F96726" w:rsidTr="00FB0234">
        <w:trPr>
          <w:trHeight w:val="858"/>
        </w:trPr>
        <w:tc>
          <w:tcPr>
            <w:tcW w:w="6724" w:type="dxa"/>
          </w:tcPr>
          <w:p w:rsidR="001B21DA" w:rsidRPr="00F96726" w:rsidRDefault="000944B1" w:rsidP="0013356D">
            <w:r>
              <w:t>“</w:t>
            </w:r>
            <w:r w:rsidR="001B21DA" w:rsidRPr="00F96726">
              <w:t>Nodokļu maksātāju kategorijas</w:t>
            </w:r>
          </w:p>
        </w:tc>
        <w:tc>
          <w:tcPr>
            <w:tcW w:w="1760" w:type="dxa"/>
            <w:tcBorders>
              <w:right w:val="single" w:sz="4" w:space="0" w:color="auto"/>
            </w:tcBorders>
          </w:tcPr>
          <w:p w:rsidR="001B21DA" w:rsidRPr="00F96726" w:rsidRDefault="001B21DA" w:rsidP="00FB0234">
            <w:pPr>
              <w:jc w:val="center"/>
            </w:pPr>
            <w:r w:rsidRPr="00F96726">
              <w:t>Nodokļa atvieglojums (%)</w:t>
            </w:r>
          </w:p>
        </w:tc>
        <w:tc>
          <w:tcPr>
            <w:tcW w:w="479" w:type="dxa"/>
            <w:tcBorders>
              <w:top w:val="nil"/>
              <w:left w:val="single" w:sz="4" w:space="0" w:color="auto"/>
              <w:bottom w:val="nil"/>
              <w:right w:val="nil"/>
            </w:tcBorders>
          </w:tcPr>
          <w:p w:rsidR="001B21DA" w:rsidRPr="00F96726" w:rsidRDefault="001B21DA" w:rsidP="00FB0234">
            <w:pPr>
              <w:jc w:val="center"/>
            </w:pPr>
          </w:p>
          <w:p w:rsidR="001B21DA" w:rsidRPr="00F96726" w:rsidRDefault="001B21DA" w:rsidP="00FB0234">
            <w:pPr>
              <w:jc w:val="center"/>
            </w:pPr>
          </w:p>
          <w:p w:rsidR="001B21DA" w:rsidRPr="00F96726" w:rsidRDefault="001B21DA" w:rsidP="00FB0234">
            <w:pPr>
              <w:jc w:val="center"/>
            </w:pPr>
          </w:p>
          <w:p w:rsidR="001B21DA" w:rsidRPr="00F96726" w:rsidRDefault="001B21DA" w:rsidP="00FB0234">
            <w:pPr>
              <w:jc w:val="center"/>
            </w:pPr>
          </w:p>
        </w:tc>
      </w:tr>
      <w:tr w:rsidR="001B21DA" w:rsidRPr="00F96726" w:rsidTr="00FB0234">
        <w:trPr>
          <w:trHeight w:val="3439"/>
        </w:trPr>
        <w:tc>
          <w:tcPr>
            <w:tcW w:w="6724" w:type="dxa"/>
          </w:tcPr>
          <w:p w:rsidR="001B21DA" w:rsidRPr="00F96726" w:rsidRDefault="001B21DA" w:rsidP="00FB0234">
            <w:pPr>
              <w:jc w:val="both"/>
            </w:pPr>
            <w:r w:rsidRPr="00F96726">
              <w:lastRenderedPageBreak/>
              <w:t>2.2.</w:t>
            </w:r>
            <w:r w:rsidRPr="00F96726">
              <w:rPr>
                <w:vertAlign w:val="superscript"/>
              </w:rPr>
              <w:t xml:space="preserve">1 </w:t>
            </w:r>
            <w:r w:rsidRPr="00F96726">
              <w:t>personai par likuma "Par nekustamā īpašuma nodokli" 3.panta pirmās daļas 2.punktā minētajiem nekustamā īpašuma objektiem – dzīvojamām mājām</w:t>
            </w:r>
            <w:r w:rsidR="000944B1">
              <w:t>,</w:t>
            </w:r>
            <w:r w:rsidRPr="00F96726">
              <w:t xml:space="preserve"> neatkarīgi no tā, vai tās ir vai nav sadalītas dzīvokļu īpašumos, dzīvojamo māju daļām, telpu grupām nedzīvojamās ēkās, kuru lietošanas veids ir dzīvošana, kā arī telpu grupām, kuru lietošanas veids ir saistīts ar dzīvošanu (garāžām, autostāvvietām, pagrabiem, noliktavām un saimniecības telpām) un tām piekritīgo zemi, ja šai personai objektā ir deklarēta dzīves vieta kopā ar bērnu invalīdu un vai nestrādājošu personu ar I vai II grupas invaliditāti kopš bērnības. Minētos atvieglojumus piemēro arī gadījumā, ja nekustamā īpašuma īpašnieks vai tiesiskais valdītājs ir bērns invalīds vai nestrādājoša persona ar I vai II grupas invaliditāti </w:t>
            </w:r>
            <w:r w:rsidR="00FF644D">
              <w:t>kopš bērnības</w:t>
            </w:r>
          </w:p>
        </w:tc>
        <w:tc>
          <w:tcPr>
            <w:tcW w:w="1760" w:type="dxa"/>
            <w:tcBorders>
              <w:right w:val="single" w:sz="4" w:space="0" w:color="auto"/>
            </w:tcBorders>
          </w:tcPr>
          <w:p w:rsidR="001B21DA" w:rsidRPr="00F96726" w:rsidRDefault="001B21DA" w:rsidP="0013356D">
            <w:pPr>
              <w:jc w:val="center"/>
            </w:pPr>
            <w:r w:rsidRPr="00F96726">
              <w:t>90 % ”</w:t>
            </w:r>
          </w:p>
          <w:p w:rsidR="001B21DA" w:rsidRPr="00F96726" w:rsidRDefault="001B21DA" w:rsidP="00FB0234">
            <w:pPr>
              <w:jc w:val="both"/>
            </w:pPr>
          </w:p>
        </w:tc>
        <w:tc>
          <w:tcPr>
            <w:tcW w:w="479" w:type="dxa"/>
            <w:tcBorders>
              <w:top w:val="nil"/>
              <w:left w:val="single" w:sz="4" w:space="0" w:color="auto"/>
              <w:bottom w:val="nil"/>
              <w:right w:val="nil"/>
            </w:tcBorders>
          </w:tcPr>
          <w:p w:rsidR="001B21DA" w:rsidRPr="00F96726" w:rsidRDefault="001B21DA" w:rsidP="00FB0234">
            <w:pPr>
              <w:jc w:val="both"/>
            </w:pPr>
          </w:p>
          <w:p w:rsidR="001B21DA" w:rsidRPr="00F96726" w:rsidRDefault="001B21DA" w:rsidP="00FB0234">
            <w:pPr>
              <w:jc w:val="both"/>
            </w:pPr>
          </w:p>
        </w:tc>
      </w:tr>
    </w:tbl>
    <w:p w:rsidR="001B21DA" w:rsidRPr="00F96726" w:rsidRDefault="001B21DA" w:rsidP="001B21DA">
      <w:pPr>
        <w:ind w:left="720"/>
        <w:jc w:val="both"/>
      </w:pPr>
    </w:p>
    <w:p w:rsidR="001B21DA" w:rsidRPr="00F96726" w:rsidRDefault="001B21DA" w:rsidP="001B21DA">
      <w:pPr>
        <w:pStyle w:val="ListParagraph"/>
        <w:numPr>
          <w:ilvl w:val="0"/>
          <w:numId w:val="1"/>
        </w:numPr>
        <w:jc w:val="both"/>
      </w:pPr>
      <w:r w:rsidRPr="00F96726">
        <w:t xml:space="preserve">Izteikt </w:t>
      </w:r>
      <w:r w:rsidR="00C424B2" w:rsidRPr="00F96726">
        <w:t xml:space="preserve">2.punkta </w:t>
      </w:r>
      <w:r w:rsidRPr="00F96726">
        <w:t>2.12. apakšpunktu šādā redakcijā:</w:t>
      </w:r>
    </w:p>
    <w:p w:rsidR="001B21DA" w:rsidRPr="00F96726" w:rsidRDefault="001B21DA" w:rsidP="001B21DA">
      <w:pPr>
        <w:ind w:firstLine="360"/>
        <w:jc w:val="both"/>
      </w:pPr>
      <w:r w:rsidRPr="00F96726">
        <w:t xml:space="preserve">      </w:t>
      </w:r>
    </w:p>
    <w:tbl>
      <w:tblPr>
        <w:tblStyle w:val="TableGrid"/>
        <w:tblW w:w="8963" w:type="dxa"/>
        <w:tblInd w:w="704" w:type="dxa"/>
        <w:tblLook w:val="04A0" w:firstRow="1" w:lastRow="0" w:firstColumn="1" w:lastColumn="0" w:noHBand="0" w:noVBand="1"/>
      </w:tblPr>
      <w:tblGrid>
        <w:gridCol w:w="6724"/>
        <w:gridCol w:w="1760"/>
        <w:gridCol w:w="479"/>
      </w:tblGrid>
      <w:tr w:rsidR="00F96726" w:rsidRPr="00F96726" w:rsidTr="00FB0234">
        <w:trPr>
          <w:trHeight w:val="858"/>
        </w:trPr>
        <w:tc>
          <w:tcPr>
            <w:tcW w:w="6724" w:type="dxa"/>
          </w:tcPr>
          <w:p w:rsidR="001B21DA" w:rsidRPr="00F96726" w:rsidRDefault="000944B1" w:rsidP="0013356D">
            <w:r>
              <w:t>“</w:t>
            </w:r>
            <w:r w:rsidR="001B21DA" w:rsidRPr="00F96726">
              <w:t>Nodokļu maksātāju kategorijas</w:t>
            </w:r>
          </w:p>
        </w:tc>
        <w:tc>
          <w:tcPr>
            <w:tcW w:w="1760" w:type="dxa"/>
            <w:tcBorders>
              <w:right w:val="single" w:sz="4" w:space="0" w:color="auto"/>
            </w:tcBorders>
          </w:tcPr>
          <w:p w:rsidR="001B21DA" w:rsidRPr="00F96726" w:rsidRDefault="001B21DA" w:rsidP="00FB0234">
            <w:pPr>
              <w:jc w:val="center"/>
            </w:pPr>
            <w:r w:rsidRPr="00F96726">
              <w:t>Nodokļa atvieglojums (%)</w:t>
            </w:r>
          </w:p>
        </w:tc>
        <w:tc>
          <w:tcPr>
            <w:tcW w:w="479" w:type="dxa"/>
            <w:tcBorders>
              <w:top w:val="nil"/>
              <w:left w:val="single" w:sz="4" w:space="0" w:color="auto"/>
              <w:bottom w:val="nil"/>
              <w:right w:val="nil"/>
            </w:tcBorders>
          </w:tcPr>
          <w:p w:rsidR="001B21DA" w:rsidRPr="00F96726" w:rsidRDefault="001B21DA" w:rsidP="00FB0234">
            <w:pPr>
              <w:jc w:val="center"/>
            </w:pPr>
          </w:p>
        </w:tc>
      </w:tr>
      <w:tr w:rsidR="001B21DA" w:rsidRPr="00F96726" w:rsidTr="00FB0234">
        <w:trPr>
          <w:trHeight w:val="1989"/>
        </w:trPr>
        <w:tc>
          <w:tcPr>
            <w:tcW w:w="6724" w:type="dxa"/>
          </w:tcPr>
          <w:p w:rsidR="001B21DA" w:rsidRPr="00F96726" w:rsidRDefault="001B21DA" w:rsidP="00FB0234">
            <w:pPr>
              <w:jc w:val="both"/>
            </w:pPr>
            <w:r w:rsidRPr="00F96726">
              <w:t>2.12. personai par Jelgavas pilsētas pašvaldības 2016.gada 22.septembra saistošo noteikumu Nr. 16-19 “Nekustamā īpašuma nodokļa piemērošana Jelgavas pilsētas administratīvajā teritorijā” 2.punktā minēto objektu, kuram piemērota nekustamā īpašuma nodokļa likme 1,5% apmērā no objekta kadastrālās vērtības, ja objektā līdz taksācijas gada 1.novembrim tiek deklarēta dzīvesvieta vismaz vienai personai</w:t>
            </w:r>
          </w:p>
        </w:tc>
        <w:tc>
          <w:tcPr>
            <w:tcW w:w="1760" w:type="dxa"/>
            <w:tcBorders>
              <w:right w:val="single" w:sz="4" w:space="0" w:color="auto"/>
            </w:tcBorders>
          </w:tcPr>
          <w:p w:rsidR="001B21DA" w:rsidRPr="00F96726" w:rsidRDefault="001B21DA" w:rsidP="0013356D">
            <w:pPr>
              <w:jc w:val="center"/>
            </w:pPr>
            <w:r w:rsidRPr="00F96726">
              <w:t>50%”</w:t>
            </w:r>
          </w:p>
        </w:tc>
        <w:tc>
          <w:tcPr>
            <w:tcW w:w="479" w:type="dxa"/>
            <w:tcBorders>
              <w:top w:val="nil"/>
              <w:left w:val="single" w:sz="4" w:space="0" w:color="auto"/>
              <w:bottom w:val="nil"/>
              <w:right w:val="nil"/>
            </w:tcBorders>
          </w:tcPr>
          <w:p w:rsidR="001B21DA" w:rsidRPr="00F96726" w:rsidRDefault="001B21DA" w:rsidP="00FB0234">
            <w:pPr>
              <w:jc w:val="both"/>
            </w:pPr>
          </w:p>
        </w:tc>
      </w:tr>
    </w:tbl>
    <w:p w:rsidR="001B21DA" w:rsidRPr="00F96726" w:rsidRDefault="001B21DA" w:rsidP="00C424B2">
      <w:pPr>
        <w:jc w:val="both"/>
      </w:pPr>
    </w:p>
    <w:p w:rsidR="001B21DA" w:rsidRPr="00F96726" w:rsidRDefault="001B21DA" w:rsidP="001B21DA">
      <w:pPr>
        <w:numPr>
          <w:ilvl w:val="0"/>
          <w:numId w:val="1"/>
        </w:numPr>
        <w:jc w:val="both"/>
      </w:pPr>
      <w:r w:rsidRPr="00F96726">
        <w:t>Papildināt</w:t>
      </w:r>
      <w:r w:rsidR="0013356D" w:rsidRPr="00F96726">
        <w:t xml:space="preserve"> 2.punktu</w:t>
      </w:r>
      <w:r w:rsidRPr="00F96726">
        <w:t xml:space="preserve"> ar 2.13.apakšpunktu šādā redakcijā:</w:t>
      </w:r>
    </w:p>
    <w:p w:rsidR="001B21DA" w:rsidRPr="00F96726" w:rsidRDefault="001B21DA" w:rsidP="001B21DA">
      <w:pPr>
        <w:ind w:left="720"/>
        <w:jc w:val="both"/>
      </w:pPr>
    </w:p>
    <w:tbl>
      <w:tblPr>
        <w:tblStyle w:val="TableGrid"/>
        <w:tblW w:w="8963" w:type="dxa"/>
        <w:tblInd w:w="704" w:type="dxa"/>
        <w:tblLook w:val="04A0" w:firstRow="1" w:lastRow="0" w:firstColumn="1" w:lastColumn="0" w:noHBand="0" w:noVBand="1"/>
      </w:tblPr>
      <w:tblGrid>
        <w:gridCol w:w="6724"/>
        <w:gridCol w:w="1760"/>
        <w:gridCol w:w="479"/>
      </w:tblGrid>
      <w:tr w:rsidR="00F96726" w:rsidRPr="00F96726" w:rsidTr="00FB0234">
        <w:trPr>
          <w:trHeight w:val="858"/>
        </w:trPr>
        <w:tc>
          <w:tcPr>
            <w:tcW w:w="6724" w:type="dxa"/>
          </w:tcPr>
          <w:p w:rsidR="001B21DA" w:rsidRPr="00F96726" w:rsidRDefault="000944B1" w:rsidP="0013356D">
            <w:r>
              <w:t>“</w:t>
            </w:r>
            <w:r w:rsidR="001B21DA" w:rsidRPr="00F96726">
              <w:t>Nodokļu maksātāju kategorijas</w:t>
            </w:r>
          </w:p>
        </w:tc>
        <w:tc>
          <w:tcPr>
            <w:tcW w:w="1760" w:type="dxa"/>
            <w:tcBorders>
              <w:right w:val="single" w:sz="4" w:space="0" w:color="auto"/>
            </w:tcBorders>
          </w:tcPr>
          <w:p w:rsidR="001B21DA" w:rsidRPr="00F96726" w:rsidRDefault="001B21DA" w:rsidP="00FB0234">
            <w:pPr>
              <w:jc w:val="center"/>
            </w:pPr>
            <w:r w:rsidRPr="00F96726">
              <w:t>Nodokļa atvieglojums (%)</w:t>
            </w:r>
          </w:p>
        </w:tc>
        <w:tc>
          <w:tcPr>
            <w:tcW w:w="479" w:type="dxa"/>
            <w:tcBorders>
              <w:top w:val="nil"/>
              <w:left w:val="single" w:sz="4" w:space="0" w:color="auto"/>
              <w:bottom w:val="nil"/>
              <w:right w:val="nil"/>
            </w:tcBorders>
          </w:tcPr>
          <w:p w:rsidR="001B21DA" w:rsidRPr="00F96726" w:rsidRDefault="001B21DA" w:rsidP="00FB0234">
            <w:pPr>
              <w:jc w:val="center"/>
            </w:pPr>
          </w:p>
        </w:tc>
      </w:tr>
      <w:tr w:rsidR="001B21DA" w:rsidRPr="00F96726" w:rsidTr="00FB0234">
        <w:trPr>
          <w:trHeight w:val="964"/>
        </w:trPr>
        <w:tc>
          <w:tcPr>
            <w:tcW w:w="6724" w:type="dxa"/>
          </w:tcPr>
          <w:p w:rsidR="001B21DA" w:rsidRPr="00F96726" w:rsidRDefault="001B21DA" w:rsidP="00FB0234">
            <w:pPr>
              <w:jc w:val="both"/>
            </w:pPr>
            <w:r w:rsidRPr="00F96726">
              <w:t>2.13. personai par dzīvojamo māju, kas iepriekšējā taksācijas gadā pirmreizēji nodota ekspluatācijā</w:t>
            </w:r>
          </w:p>
        </w:tc>
        <w:tc>
          <w:tcPr>
            <w:tcW w:w="1760" w:type="dxa"/>
            <w:tcBorders>
              <w:right w:val="single" w:sz="4" w:space="0" w:color="auto"/>
            </w:tcBorders>
            <w:shd w:val="clear" w:color="auto" w:fill="auto"/>
          </w:tcPr>
          <w:p w:rsidR="001B21DA" w:rsidRPr="00F96726" w:rsidRDefault="001B21DA" w:rsidP="0013356D">
            <w:pPr>
              <w:jc w:val="center"/>
            </w:pPr>
            <w:r w:rsidRPr="00F96726">
              <w:t>50 % ”</w:t>
            </w:r>
          </w:p>
        </w:tc>
        <w:tc>
          <w:tcPr>
            <w:tcW w:w="479" w:type="dxa"/>
            <w:tcBorders>
              <w:top w:val="nil"/>
              <w:left w:val="single" w:sz="4" w:space="0" w:color="auto"/>
              <w:bottom w:val="nil"/>
              <w:right w:val="nil"/>
            </w:tcBorders>
          </w:tcPr>
          <w:p w:rsidR="001B21DA" w:rsidRPr="00F96726" w:rsidRDefault="001B21DA" w:rsidP="00FB0234">
            <w:pPr>
              <w:jc w:val="both"/>
            </w:pPr>
          </w:p>
          <w:p w:rsidR="001B21DA" w:rsidRPr="00F96726" w:rsidRDefault="001B21DA" w:rsidP="00FB0234">
            <w:pPr>
              <w:jc w:val="both"/>
            </w:pPr>
          </w:p>
          <w:p w:rsidR="001B21DA" w:rsidRPr="00F96726" w:rsidRDefault="001B21DA" w:rsidP="00FB0234">
            <w:pPr>
              <w:jc w:val="both"/>
            </w:pPr>
          </w:p>
        </w:tc>
      </w:tr>
    </w:tbl>
    <w:p w:rsidR="001B21DA" w:rsidRPr="00F96726" w:rsidRDefault="001B21DA" w:rsidP="001B21DA">
      <w:pPr>
        <w:ind w:left="720"/>
        <w:jc w:val="both"/>
      </w:pPr>
    </w:p>
    <w:p w:rsidR="001B21DA" w:rsidRPr="00F96726" w:rsidRDefault="001B21DA" w:rsidP="001B21DA">
      <w:pPr>
        <w:numPr>
          <w:ilvl w:val="0"/>
          <w:numId w:val="1"/>
        </w:numPr>
        <w:jc w:val="both"/>
      </w:pPr>
      <w:r w:rsidRPr="00F96726">
        <w:t>Papildināt</w:t>
      </w:r>
      <w:r w:rsidR="0013356D" w:rsidRPr="00F96726">
        <w:t xml:space="preserve"> noteikumus</w:t>
      </w:r>
      <w:proofErr w:type="gramStart"/>
      <w:r w:rsidR="0013356D" w:rsidRPr="00F96726">
        <w:t xml:space="preserve"> </w:t>
      </w:r>
      <w:r w:rsidRPr="00F96726">
        <w:t xml:space="preserve"> </w:t>
      </w:r>
      <w:proofErr w:type="gramEnd"/>
      <w:r w:rsidRPr="00F96726">
        <w:t>ar 4.</w:t>
      </w:r>
      <w:r w:rsidRPr="00F96726">
        <w:rPr>
          <w:vertAlign w:val="superscript"/>
        </w:rPr>
        <w:t xml:space="preserve">3 </w:t>
      </w:r>
      <w:r w:rsidRPr="00F96726">
        <w:t>punktu šādā redakcijā:</w:t>
      </w:r>
    </w:p>
    <w:p w:rsidR="001B21DA" w:rsidRPr="00F96726" w:rsidRDefault="001B21DA" w:rsidP="001B21DA">
      <w:pPr>
        <w:ind w:left="720"/>
        <w:jc w:val="both"/>
      </w:pPr>
      <w:r w:rsidRPr="00F96726">
        <w:t>“4.</w:t>
      </w:r>
      <w:r w:rsidRPr="00F96726">
        <w:rPr>
          <w:vertAlign w:val="superscript"/>
        </w:rPr>
        <w:t xml:space="preserve">3 </w:t>
      </w:r>
      <w:r w:rsidR="0013356D" w:rsidRPr="00F96726">
        <w:t>Personām, kuras</w:t>
      </w:r>
      <w:r w:rsidRPr="00F96726">
        <w:t xml:space="preserve"> minētas 2.2.</w:t>
      </w:r>
      <w:r w:rsidRPr="00F96726">
        <w:rPr>
          <w:vertAlign w:val="superscript"/>
        </w:rPr>
        <w:t>1</w:t>
      </w:r>
      <w:r w:rsidRPr="00F96726">
        <w:t xml:space="preserve"> un 2.13. apakšpunktā, piešķir nodokļa atvieglojumus, ja par nekustamo īpašumu nav nekustamā īpašuma nodokļa parāda par iepriekšējiem </w:t>
      </w:r>
      <w:r w:rsidR="0013356D" w:rsidRPr="00F96726">
        <w:t xml:space="preserve">taksācijas </w:t>
      </w:r>
      <w:r w:rsidRPr="00F96726">
        <w:t>gadiem”.</w:t>
      </w:r>
    </w:p>
    <w:p w:rsidR="001B21DA" w:rsidRPr="00F96726" w:rsidRDefault="00D3717E" w:rsidP="001B21DA">
      <w:pPr>
        <w:numPr>
          <w:ilvl w:val="0"/>
          <w:numId w:val="1"/>
        </w:numPr>
        <w:jc w:val="both"/>
      </w:pPr>
      <w:r>
        <w:t>Svītrot</w:t>
      </w:r>
      <w:r w:rsidR="001B21DA" w:rsidRPr="00F96726">
        <w:t xml:space="preserve"> </w:t>
      </w:r>
      <w:r w:rsidR="00A548B9" w:rsidRPr="00F96726">
        <w:t xml:space="preserve">6.punkta </w:t>
      </w:r>
      <w:r>
        <w:t>6.1. apakšpunktu.</w:t>
      </w:r>
    </w:p>
    <w:p w:rsidR="001B21DA" w:rsidRPr="00F96726" w:rsidRDefault="001B21DA" w:rsidP="001B21DA">
      <w:pPr>
        <w:numPr>
          <w:ilvl w:val="0"/>
          <w:numId w:val="1"/>
        </w:numPr>
        <w:jc w:val="both"/>
      </w:pPr>
      <w:r w:rsidRPr="00F96726">
        <w:t>Svītrot 10.</w:t>
      </w:r>
      <w:r w:rsidRPr="00F96726">
        <w:rPr>
          <w:vertAlign w:val="superscript"/>
        </w:rPr>
        <w:t>1</w:t>
      </w:r>
      <w:r w:rsidRPr="00F96726">
        <w:t xml:space="preserve"> punktā skaitli un vārdu “2018.gadam”. </w:t>
      </w:r>
    </w:p>
    <w:p w:rsidR="001B21DA" w:rsidRPr="00F96726" w:rsidRDefault="001B21DA" w:rsidP="001B21DA">
      <w:pPr>
        <w:numPr>
          <w:ilvl w:val="0"/>
          <w:numId w:val="1"/>
        </w:numPr>
        <w:jc w:val="both"/>
      </w:pPr>
      <w:r w:rsidRPr="00F96726">
        <w:t>Aizstāt</w:t>
      </w:r>
      <w:r w:rsidR="000944B1">
        <w:t xml:space="preserve"> </w:t>
      </w:r>
      <w:r w:rsidRPr="00F96726">
        <w:t>13.punktā vārdu “domes” var vārdiem “pašvaldības administrācijas”.</w:t>
      </w:r>
    </w:p>
    <w:p w:rsidR="001B21DA" w:rsidRDefault="001B21DA" w:rsidP="001B21DA">
      <w:pPr>
        <w:numPr>
          <w:ilvl w:val="0"/>
          <w:numId w:val="1"/>
        </w:numPr>
        <w:jc w:val="both"/>
      </w:pPr>
      <w:r w:rsidRPr="00F96726">
        <w:t>Saistošie noteikumi s</w:t>
      </w:r>
      <w:r w:rsidR="00D42F6E">
        <w:t>tājas spēkā 2019.gada 1.janvārī.</w:t>
      </w:r>
    </w:p>
    <w:p w:rsidR="00D42F6E" w:rsidRPr="00670A40" w:rsidRDefault="00D42F6E" w:rsidP="00D42F6E">
      <w:pPr>
        <w:ind w:left="720"/>
        <w:jc w:val="both"/>
      </w:pPr>
      <w:bookmarkStart w:id="0" w:name="_GoBack"/>
      <w:bookmarkEnd w:id="0"/>
    </w:p>
    <w:p w:rsidR="001B21DA" w:rsidRDefault="001B21DA" w:rsidP="001B21DA">
      <w:pPr>
        <w:jc w:val="both"/>
        <w:rPr>
          <w:highlight w:val="lightGray"/>
        </w:rPr>
      </w:pPr>
      <w:r w:rsidRPr="00670A40">
        <w:t>Jelgavas pilsētas domes priekšsēdētājs</w:t>
      </w:r>
      <w:r w:rsidRPr="00670A40">
        <w:tab/>
      </w:r>
      <w:r w:rsidRPr="00670A40">
        <w:tab/>
      </w:r>
      <w:proofErr w:type="gramStart"/>
      <w:r w:rsidR="009E186B">
        <w:t xml:space="preserve">                   </w:t>
      </w:r>
      <w:proofErr w:type="gramEnd"/>
      <w:r w:rsidRPr="00670A40">
        <w:tab/>
      </w:r>
      <w:r w:rsidRPr="00670A40">
        <w:tab/>
      </w:r>
      <w:r w:rsidR="008D6DEE">
        <w:tab/>
      </w:r>
      <w:r w:rsidRPr="00670A40">
        <w:t>A.</w:t>
      </w:r>
      <w:r>
        <w:t>Rāviņš</w:t>
      </w:r>
      <w:r w:rsidRPr="001B21DA">
        <w:rPr>
          <w:highlight w:val="lightGray"/>
        </w:rPr>
        <w:t xml:space="preserve"> </w:t>
      </w:r>
    </w:p>
    <w:p w:rsidR="00D42F6E" w:rsidRPr="001B21DA" w:rsidRDefault="00D42F6E" w:rsidP="001B21DA">
      <w:pPr>
        <w:jc w:val="both"/>
        <w:rPr>
          <w:highlight w:val="lightGray"/>
        </w:rPr>
      </w:pPr>
    </w:p>
    <w:p w:rsidR="00D3108D" w:rsidRPr="0013356D" w:rsidRDefault="00D42F6E" w:rsidP="00D42F6E">
      <w:pPr>
        <w:tabs>
          <w:tab w:val="center" w:pos="4153"/>
          <w:tab w:val="right" w:pos="8306"/>
        </w:tabs>
        <w:jc w:val="center"/>
        <w:rPr>
          <w:lang w:eastAsia="en-US"/>
        </w:rPr>
      </w:pPr>
      <w:r>
        <w:rPr>
          <w:lang w:eastAsia="en-US"/>
        </w:rPr>
        <w:t>ŠIS DOKUMENTS IR ELEKTRONISKI PARAKSTĪTS AR DROŠU ELEKTRONISKO PARAKSTU UN SATUR LAIKA ZĪMOGU</w:t>
      </w:r>
    </w:p>
    <w:sectPr w:rsidR="00D3108D" w:rsidRPr="0013356D" w:rsidSect="0043121C">
      <w:footerReference w:type="default" r:id="rId8"/>
      <w:head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743" w:rsidRDefault="008E2743">
      <w:r>
        <w:separator/>
      </w:r>
    </w:p>
  </w:endnote>
  <w:endnote w:type="continuationSeparator" w:id="0">
    <w:p w:rsidR="008E2743" w:rsidRDefault="008E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16221"/>
      <w:docPartObj>
        <w:docPartGallery w:val="Page Numbers (Bottom of Page)"/>
        <w:docPartUnique/>
      </w:docPartObj>
    </w:sdtPr>
    <w:sdtEndPr>
      <w:rPr>
        <w:noProof/>
      </w:rPr>
    </w:sdtEndPr>
    <w:sdtContent>
      <w:p w:rsidR="008D6DEE" w:rsidRDefault="008D6DEE">
        <w:pPr>
          <w:pStyle w:val="Footer"/>
          <w:jc w:val="center"/>
        </w:pPr>
        <w:r>
          <w:fldChar w:fldCharType="begin"/>
        </w:r>
        <w:r>
          <w:instrText xml:space="preserve"> PAGE   \* MERGEFORMAT </w:instrText>
        </w:r>
        <w:r>
          <w:fldChar w:fldCharType="separate"/>
        </w:r>
        <w:r w:rsidR="00D42F6E">
          <w:rPr>
            <w:noProof/>
          </w:rPr>
          <w:t>2</w:t>
        </w:r>
        <w:r>
          <w:rPr>
            <w:noProof/>
          </w:rPr>
          <w:fldChar w:fldCharType="end"/>
        </w:r>
      </w:p>
    </w:sdtContent>
  </w:sdt>
  <w:p w:rsidR="009425F3" w:rsidRPr="008D6DEE" w:rsidRDefault="009425F3" w:rsidP="008D6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743" w:rsidRDefault="008E2743">
      <w:r>
        <w:separator/>
      </w:r>
    </w:p>
  </w:footnote>
  <w:footnote w:type="continuationSeparator" w:id="0">
    <w:p w:rsidR="008E2743" w:rsidRDefault="008E2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Pr="00AE0FFD" w:rsidRDefault="001B21DA" w:rsidP="005F450A">
    <w:pPr>
      <w:pStyle w:val="Header"/>
      <w:pBdr>
        <w:top w:val="single" w:sz="6" w:space="1" w:color="auto"/>
      </w:pBdr>
      <w:ind w:firstLine="1440"/>
      <w:rPr>
        <w:rFonts w:ascii="Arial" w:hAnsi="Arial"/>
        <w:b/>
        <w:sz w:val="26"/>
        <w:szCs w:val="26"/>
      </w:rPr>
    </w:pPr>
    <w:r w:rsidRPr="00AE0FFD">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1B21DA" w:rsidP="005F450A">
                          <w:pPr>
                            <w:pStyle w:val="Header"/>
                            <w:rPr>
                              <w:rFonts w:ascii="Arial" w:hAnsi="Arial"/>
                              <w:b/>
                              <w:sz w:val="28"/>
                            </w:rPr>
                          </w:pPr>
                          <w:r>
                            <w:rPr>
                              <w:rFonts w:ascii="Arial" w:hAnsi="Arial"/>
                              <w:b/>
                              <w:noProof/>
                              <w:sz w:val="28"/>
                            </w:rPr>
                            <w:drawing>
                              <wp:inline distT="0" distB="0" distL="0" distR="0">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1B21DA" w:rsidP="005F450A">
                    <w:pPr>
                      <w:pStyle w:val="Header"/>
                      <w:rPr>
                        <w:rFonts w:ascii="Arial" w:hAnsi="Arial"/>
                        <w:b/>
                        <w:sz w:val="28"/>
                      </w:rPr>
                    </w:pPr>
                    <w:r>
                      <w:rPr>
                        <w:rFonts w:ascii="Arial" w:hAnsi="Arial"/>
                        <w:b/>
                        <w:noProof/>
                        <w:sz w:val="28"/>
                      </w:rPr>
                      <w:drawing>
                        <wp:inline distT="0" distB="0" distL="0" distR="0">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xbxContent>
              </v:textbox>
              <w10:wrap type="square"/>
            </v:shape>
          </w:pict>
        </mc:Fallback>
      </mc:AlternateContent>
    </w:r>
    <w:r w:rsidR="005F450A" w:rsidRPr="00AE0FFD">
      <w:rPr>
        <w:rFonts w:ascii="Arial" w:hAnsi="Arial"/>
        <w:b/>
        <w:sz w:val="26"/>
        <w:szCs w:val="26"/>
      </w:rPr>
      <w:t>Latvijas Republika</w:t>
    </w:r>
  </w:p>
  <w:p w:rsidR="005F450A" w:rsidRPr="00AE0FFD" w:rsidRDefault="005F450A" w:rsidP="005F450A">
    <w:pPr>
      <w:pStyle w:val="Header"/>
      <w:ind w:left="1320" w:right="-716"/>
      <w:rPr>
        <w:rFonts w:ascii="Arial" w:hAnsi="Arial"/>
        <w:b/>
        <w:sz w:val="64"/>
        <w:szCs w:val="64"/>
      </w:rPr>
    </w:pPr>
    <w:r w:rsidRPr="00AE0FFD">
      <w:rPr>
        <w:rFonts w:ascii="Arial" w:hAnsi="Arial"/>
        <w:b/>
        <w:sz w:val="64"/>
        <w:szCs w:val="64"/>
      </w:rPr>
      <w:t xml:space="preserve">Jelgavas </w:t>
    </w:r>
    <w:r w:rsidR="00234525" w:rsidRPr="00AE0FFD">
      <w:rPr>
        <w:rFonts w:ascii="Arial" w:hAnsi="Arial"/>
        <w:b/>
        <w:sz w:val="64"/>
        <w:szCs w:val="64"/>
      </w:rPr>
      <w:t xml:space="preserve">pilsētas </w:t>
    </w:r>
    <w:r w:rsidRPr="00AE0FFD">
      <w:rPr>
        <w:rFonts w:ascii="Arial" w:hAnsi="Arial"/>
        <w:b/>
        <w:sz w:val="64"/>
        <w:szCs w:val="64"/>
      </w:rPr>
      <w:t>dome</w:t>
    </w:r>
  </w:p>
  <w:p w:rsidR="005F450A" w:rsidRDefault="005F450A" w:rsidP="005F450A">
    <w:pPr>
      <w:pStyle w:val="Header"/>
      <w:tabs>
        <w:tab w:val="left" w:pos="1440"/>
      </w:tabs>
      <w:ind w:left="1440"/>
      <w:jc w:val="center"/>
      <w:rPr>
        <w:rFonts w:ascii="Arial" w:hAnsi="Arial"/>
        <w:sz w:val="10"/>
      </w:rPr>
    </w:pPr>
  </w:p>
  <w:p w:rsidR="005F450A" w:rsidRPr="00483639" w:rsidRDefault="00AB7C67" w:rsidP="005F450A">
    <w:pPr>
      <w:pStyle w:val="Header"/>
      <w:tabs>
        <w:tab w:val="left" w:pos="1440"/>
      </w:tabs>
      <w:ind w:left="1440"/>
      <w:rPr>
        <w:rFonts w:ascii="Arial" w:hAnsi="Arial"/>
        <w:sz w:val="17"/>
        <w:szCs w:val="17"/>
      </w:rPr>
    </w:pPr>
    <w:r w:rsidRPr="00483639">
      <w:rPr>
        <w:rFonts w:ascii="Arial" w:hAnsi="Arial"/>
        <w:sz w:val="17"/>
        <w:szCs w:val="17"/>
      </w:rPr>
      <w:t xml:space="preserve">Reģ.Nr.90000042516, </w:t>
    </w:r>
    <w:r w:rsidR="002C07FD" w:rsidRPr="00483639">
      <w:rPr>
        <w:rFonts w:ascii="Arial" w:hAnsi="Arial"/>
        <w:sz w:val="17"/>
        <w:szCs w:val="17"/>
      </w:rPr>
      <w:t>Lielā iela 11, Jelgava, LV-</w:t>
    </w:r>
    <w:r w:rsidR="005F450A" w:rsidRPr="00483639">
      <w:rPr>
        <w:rFonts w:ascii="Arial" w:hAnsi="Arial"/>
        <w:sz w:val="17"/>
        <w:szCs w:val="17"/>
      </w:rPr>
      <w:t>3001, Latvija</w:t>
    </w:r>
  </w:p>
  <w:p w:rsidR="005F450A" w:rsidRPr="00483639" w:rsidRDefault="005F450A" w:rsidP="005F450A">
    <w:pPr>
      <w:pStyle w:val="Header"/>
      <w:tabs>
        <w:tab w:val="left" w:pos="1440"/>
      </w:tabs>
      <w:ind w:left="1440"/>
      <w:rPr>
        <w:rFonts w:ascii="Arial" w:hAnsi="Arial"/>
        <w:sz w:val="17"/>
        <w:szCs w:val="17"/>
      </w:rPr>
    </w:pPr>
    <w:r w:rsidRPr="00483639">
      <w:rPr>
        <w:rFonts w:ascii="Arial" w:hAnsi="Arial"/>
        <w:sz w:val="17"/>
        <w:szCs w:val="17"/>
      </w:rPr>
      <w:t>tālr</w:t>
    </w:r>
    <w:r w:rsidR="002C07FD" w:rsidRPr="00483639">
      <w:rPr>
        <w:rFonts w:ascii="Arial" w:hAnsi="Arial"/>
        <w:sz w:val="17"/>
        <w:szCs w:val="17"/>
      </w:rPr>
      <w:t>unis</w:t>
    </w:r>
    <w:r w:rsidRPr="00483639">
      <w:rPr>
        <w:rFonts w:ascii="Arial" w:hAnsi="Arial"/>
        <w:sz w:val="17"/>
        <w:szCs w:val="17"/>
      </w:rPr>
      <w:t xml:space="preserve">: </w:t>
    </w:r>
    <w:r w:rsidR="00B7291C" w:rsidRPr="00483639">
      <w:rPr>
        <w:rFonts w:ascii="Arial" w:hAnsi="Arial"/>
        <w:sz w:val="17"/>
        <w:szCs w:val="17"/>
      </w:rPr>
      <w:t>6</w:t>
    </w:r>
    <w:r w:rsidRPr="00483639">
      <w:rPr>
        <w:rFonts w:ascii="Arial" w:hAnsi="Arial"/>
        <w:sz w:val="17"/>
        <w:szCs w:val="17"/>
      </w:rPr>
      <w:t>30</w:t>
    </w:r>
    <w:r w:rsidR="006139B3" w:rsidRPr="00483639">
      <w:rPr>
        <w:rFonts w:ascii="Arial" w:hAnsi="Arial"/>
        <w:sz w:val="17"/>
        <w:szCs w:val="17"/>
      </w:rPr>
      <w:t>055</w:t>
    </w:r>
    <w:r w:rsidRPr="00483639">
      <w:rPr>
        <w:rFonts w:ascii="Arial" w:hAnsi="Arial"/>
        <w:sz w:val="17"/>
        <w:szCs w:val="17"/>
      </w:rPr>
      <w:t xml:space="preserve">31, </w:t>
    </w:r>
    <w:r w:rsidR="00B7291C" w:rsidRPr="00483639">
      <w:rPr>
        <w:rFonts w:ascii="Arial" w:hAnsi="Arial"/>
        <w:sz w:val="17"/>
        <w:szCs w:val="17"/>
      </w:rPr>
      <w:t>6</w:t>
    </w:r>
    <w:r w:rsidRPr="00483639">
      <w:rPr>
        <w:rFonts w:ascii="Arial" w:hAnsi="Arial"/>
        <w:sz w:val="17"/>
        <w:szCs w:val="17"/>
      </w:rPr>
      <w:t>3005538, e-</w:t>
    </w:r>
    <w:r w:rsidR="00AE0FFD" w:rsidRPr="00483639">
      <w:rPr>
        <w:rFonts w:ascii="Arial" w:hAnsi="Arial"/>
        <w:sz w:val="17"/>
        <w:szCs w:val="17"/>
      </w:rPr>
      <w:t>pasts</w:t>
    </w:r>
    <w:r w:rsidRPr="00483639">
      <w:rPr>
        <w:rFonts w:ascii="Arial" w:hAnsi="Arial"/>
        <w:sz w:val="17"/>
        <w:szCs w:val="17"/>
      </w:rPr>
      <w:t>:</w:t>
    </w:r>
    <w:r w:rsidR="00AE0FFD" w:rsidRPr="00483639">
      <w:rPr>
        <w:rFonts w:ascii="Arial" w:hAnsi="Arial"/>
        <w:sz w:val="17"/>
        <w:szCs w:val="17"/>
      </w:rPr>
      <w:t xml:space="preserve"> </w:t>
    </w:r>
    <w:r w:rsidR="00AB7C67" w:rsidRPr="00483639">
      <w:rPr>
        <w:rFonts w:ascii="Arial" w:hAnsi="Arial"/>
        <w:sz w:val="17"/>
        <w:szCs w:val="17"/>
      </w:rPr>
      <w:t>dome@dome.jelgava.lv</w:t>
    </w:r>
  </w:p>
  <w:p w:rsidR="002C07FD" w:rsidRPr="00AB7C67" w:rsidRDefault="002C07FD" w:rsidP="005F450A">
    <w:pPr>
      <w:pStyle w:val="Header"/>
      <w:tabs>
        <w:tab w:val="left" w:pos="1440"/>
      </w:tabs>
      <w:ind w:left="1440"/>
      <w:rPr>
        <w:rFonts w:ascii="Arial" w:hAnsi="Arial"/>
        <w:sz w:val="10"/>
        <w:szCs w:val="10"/>
      </w:rPr>
    </w:pPr>
  </w:p>
  <w:p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A2A39"/>
    <w:multiLevelType w:val="hybridMultilevel"/>
    <w:tmpl w:val="668C78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02A66"/>
    <w:rsid w:val="00021DDE"/>
    <w:rsid w:val="00030783"/>
    <w:rsid w:val="000944B1"/>
    <w:rsid w:val="0013356D"/>
    <w:rsid w:val="00167F75"/>
    <w:rsid w:val="00182448"/>
    <w:rsid w:val="001A7689"/>
    <w:rsid w:val="001B21DA"/>
    <w:rsid w:val="001F16D5"/>
    <w:rsid w:val="00234525"/>
    <w:rsid w:val="00284121"/>
    <w:rsid w:val="00285054"/>
    <w:rsid w:val="002B32AA"/>
    <w:rsid w:val="002C07FD"/>
    <w:rsid w:val="00337B52"/>
    <w:rsid w:val="00352602"/>
    <w:rsid w:val="003A55B2"/>
    <w:rsid w:val="003B049D"/>
    <w:rsid w:val="00413AE0"/>
    <w:rsid w:val="0043121C"/>
    <w:rsid w:val="00483639"/>
    <w:rsid w:val="004B5683"/>
    <w:rsid w:val="004D18E3"/>
    <w:rsid w:val="005346CB"/>
    <w:rsid w:val="005B0C3D"/>
    <w:rsid w:val="005C293A"/>
    <w:rsid w:val="005F450A"/>
    <w:rsid w:val="006139B3"/>
    <w:rsid w:val="00615C22"/>
    <w:rsid w:val="00644AA6"/>
    <w:rsid w:val="00696DB4"/>
    <w:rsid w:val="006A3EA8"/>
    <w:rsid w:val="00727A31"/>
    <w:rsid w:val="007A18F0"/>
    <w:rsid w:val="00860E5E"/>
    <w:rsid w:val="008D6DEE"/>
    <w:rsid w:val="008E2743"/>
    <w:rsid w:val="009269C7"/>
    <w:rsid w:val="009425F3"/>
    <w:rsid w:val="009A57CA"/>
    <w:rsid w:val="009E186B"/>
    <w:rsid w:val="009E7B84"/>
    <w:rsid w:val="00A548B9"/>
    <w:rsid w:val="00A933D1"/>
    <w:rsid w:val="00AB7C67"/>
    <w:rsid w:val="00AE0FFD"/>
    <w:rsid w:val="00B00297"/>
    <w:rsid w:val="00B370E9"/>
    <w:rsid w:val="00B7291C"/>
    <w:rsid w:val="00B85055"/>
    <w:rsid w:val="00B908CC"/>
    <w:rsid w:val="00C424B2"/>
    <w:rsid w:val="00CB262E"/>
    <w:rsid w:val="00D3108D"/>
    <w:rsid w:val="00D3717E"/>
    <w:rsid w:val="00D42F6E"/>
    <w:rsid w:val="00DC009C"/>
    <w:rsid w:val="00E61693"/>
    <w:rsid w:val="00EC06E0"/>
    <w:rsid w:val="00F0496F"/>
    <w:rsid w:val="00F059A6"/>
    <w:rsid w:val="00F24A9C"/>
    <w:rsid w:val="00F47D49"/>
    <w:rsid w:val="00F55243"/>
    <w:rsid w:val="00F60AD7"/>
    <w:rsid w:val="00F73BF7"/>
    <w:rsid w:val="00F96726"/>
    <w:rsid w:val="00FF644D"/>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4B2"/>
    <w:rPr>
      <w:sz w:val="24"/>
      <w:szCs w:val="24"/>
    </w:rPr>
  </w:style>
  <w:style w:type="paragraph" w:styleId="Heading4">
    <w:name w:val="heading 4"/>
    <w:basedOn w:val="Normal"/>
    <w:next w:val="Normal"/>
    <w:link w:val="Heading4Char"/>
    <w:qFormat/>
    <w:rsid w:val="001B21DA"/>
    <w:pPr>
      <w:keepNext/>
      <w:jc w:val="right"/>
      <w:outlineLvl w:val="3"/>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character" w:customStyle="1" w:styleId="Heading4Char">
    <w:name w:val="Heading 4 Char"/>
    <w:basedOn w:val="DefaultParagraphFont"/>
    <w:link w:val="Heading4"/>
    <w:rsid w:val="001B21DA"/>
    <w:rPr>
      <w:i/>
      <w:iCs/>
      <w:sz w:val="24"/>
      <w:szCs w:val="24"/>
      <w:lang w:eastAsia="en-US"/>
    </w:rPr>
  </w:style>
  <w:style w:type="paragraph" w:styleId="BodyText">
    <w:name w:val="Body Text"/>
    <w:basedOn w:val="Normal"/>
    <w:link w:val="BodyTextChar"/>
    <w:rsid w:val="001B21DA"/>
    <w:pPr>
      <w:jc w:val="center"/>
    </w:pPr>
    <w:rPr>
      <w:b/>
      <w:bCs/>
      <w:u w:val="single"/>
      <w:lang w:eastAsia="en-US"/>
    </w:rPr>
  </w:style>
  <w:style w:type="character" w:customStyle="1" w:styleId="BodyTextChar">
    <w:name w:val="Body Text Char"/>
    <w:basedOn w:val="DefaultParagraphFont"/>
    <w:link w:val="BodyText"/>
    <w:rsid w:val="001B21DA"/>
    <w:rPr>
      <w:b/>
      <w:bCs/>
      <w:sz w:val="24"/>
      <w:szCs w:val="24"/>
      <w:u w:val="single"/>
      <w:lang w:eastAsia="en-US"/>
    </w:rPr>
  </w:style>
  <w:style w:type="table" w:styleId="TableGrid">
    <w:name w:val="Table Grid"/>
    <w:basedOn w:val="TableNormal"/>
    <w:rsid w:val="001B2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1DA"/>
    <w:pPr>
      <w:ind w:left="720"/>
      <w:contextualSpacing/>
    </w:pPr>
  </w:style>
  <w:style w:type="paragraph" w:styleId="BalloonText">
    <w:name w:val="Balloon Text"/>
    <w:basedOn w:val="Normal"/>
    <w:link w:val="BalloonTextChar"/>
    <w:rsid w:val="00F96726"/>
    <w:rPr>
      <w:rFonts w:ascii="Segoe UI" w:hAnsi="Segoe UI" w:cs="Segoe UI"/>
      <w:sz w:val="18"/>
      <w:szCs w:val="18"/>
    </w:rPr>
  </w:style>
  <w:style w:type="character" w:customStyle="1" w:styleId="BalloonTextChar">
    <w:name w:val="Balloon Text Char"/>
    <w:basedOn w:val="DefaultParagraphFont"/>
    <w:link w:val="BalloonText"/>
    <w:rsid w:val="00F96726"/>
    <w:rPr>
      <w:rFonts w:ascii="Segoe UI" w:hAnsi="Segoe UI" w:cs="Segoe UI"/>
      <w:sz w:val="18"/>
      <w:szCs w:val="18"/>
    </w:rPr>
  </w:style>
  <w:style w:type="character" w:customStyle="1" w:styleId="FooterChar">
    <w:name w:val="Footer Char"/>
    <w:basedOn w:val="DefaultParagraphFont"/>
    <w:link w:val="Footer"/>
    <w:uiPriority w:val="99"/>
    <w:rsid w:val="008D6DE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4B2"/>
    <w:rPr>
      <w:sz w:val="24"/>
      <w:szCs w:val="24"/>
    </w:rPr>
  </w:style>
  <w:style w:type="paragraph" w:styleId="Heading4">
    <w:name w:val="heading 4"/>
    <w:basedOn w:val="Normal"/>
    <w:next w:val="Normal"/>
    <w:link w:val="Heading4Char"/>
    <w:qFormat/>
    <w:rsid w:val="001B21DA"/>
    <w:pPr>
      <w:keepNext/>
      <w:jc w:val="right"/>
      <w:outlineLvl w:val="3"/>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character" w:customStyle="1" w:styleId="Heading4Char">
    <w:name w:val="Heading 4 Char"/>
    <w:basedOn w:val="DefaultParagraphFont"/>
    <w:link w:val="Heading4"/>
    <w:rsid w:val="001B21DA"/>
    <w:rPr>
      <w:i/>
      <w:iCs/>
      <w:sz w:val="24"/>
      <w:szCs w:val="24"/>
      <w:lang w:eastAsia="en-US"/>
    </w:rPr>
  </w:style>
  <w:style w:type="paragraph" w:styleId="BodyText">
    <w:name w:val="Body Text"/>
    <w:basedOn w:val="Normal"/>
    <w:link w:val="BodyTextChar"/>
    <w:rsid w:val="001B21DA"/>
    <w:pPr>
      <w:jc w:val="center"/>
    </w:pPr>
    <w:rPr>
      <w:b/>
      <w:bCs/>
      <w:u w:val="single"/>
      <w:lang w:eastAsia="en-US"/>
    </w:rPr>
  </w:style>
  <w:style w:type="character" w:customStyle="1" w:styleId="BodyTextChar">
    <w:name w:val="Body Text Char"/>
    <w:basedOn w:val="DefaultParagraphFont"/>
    <w:link w:val="BodyText"/>
    <w:rsid w:val="001B21DA"/>
    <w:rPr>
      <w:b/>
      <w:bCs/>
      <w:sz w:val="24"/>
      <w:szCs w:val="24"/>
      <w:u w:val="single"/>
      <w:lang w:eastAsia="en-US"/>
    </w:rPr>
  </w:style>
  <w:style w:type="table" w:styleId="TableGrid">
    <w:name w:val="Table Grid"/>
    <w:basedOn w:val="TableNormal"/>
    <w:rsid w:val="001B2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1DA"/>
    <w:pPr>
      <w:ind w:left="720"/>
      <w:contextualSpacing/>
    </w:pPr>
  </w:style>
  <w:style w:type="paragraph" w:styleId="BalloonText">
    <w:name w:val="Balloon Text"/>
    <w:basedOn w:val="Normal"/>
    <w:link w:val="BalloonTextChar"/>
    <w:rsid w:val="00F96726"/>
    <w:rPr>
      <w:rFonts w:ascii="Segoe UI" w:hAnsi="Segoe UI" w:cs="Segoe UI"/>
      <w:sz w:val="18"/>
      <w:szCs w:val="18"/>
    </w:rPr>
  </w:style>
  <w:style w:type="character" w:customStyle="1" w:styleId="BalloonTextChar">
    <w:name w:val="Balloon Text Char"/>
    <w:basedOn w:val="DefaultParagraphFont"/>
    <w:link w:val="BalloonText"/>
    <w:rsid w:val="00F96726"/>
    <w:rPr>
      <w:rFonts w:ascii="Segoe UI" w:hAnsi="Segoe UI" w:cs="Segoe UI"/>
      <w:sz w:val="18"/>
      <w:szCs w:val="18"/>
    </w:rPr>
  </w:style>
  <w:style w:type="character" w:customStyle="1" w:styleId="FooterChar">
    <w:name w:val="Footer Char"/>
    <w:basedOn w:val="DefaultParagraphFont"/>
    <w:link w:val="Footer"/>
    <w:uiPriority w:val="99"/>
    <w:rsid w:val="008D6D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02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Spīdola Ozoliņa</dc:creator>
  <cp:lastModifiedBy>Ksenija Simonova</cp:lastModifiedBy>
  <cp:revision>11</cp:revision>
  <cp:lastPrinted>2018-11-22T09:16:00Z</cp:lastPrinted>
  <dcterms:created xsi:type="dcterms:W3CDTF">2018-11-08T08:39:00Z</dcterms:created>
  <dcterms:modified xsi:type="dcterms:W3CDTF">2018-11-22T09:32:00Z</dcterms:modified>
</cp:coreProperties>
</file>