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8" w:type="dxa"/>
        <w:tblLook w:val="0000" w:firstRow="0" w:lastRow="0" w:firstColumn="0" w:lastColumn="0" w:noHBand="0" w:noVBand="0"/>
      </w:tblPr>
      <w:tblGrid>
        <w:gridCol w:w="7905"/>
        <w:gridCol w:w="993"/>
      </w:tblGrid>
      <w:tr w:rsidR="00E61AB9" w:rsidTr="007361CA">
        <w:tc>
          <w:tcPr>
            <w:tcW w:w="7905" w:type="dxa"/>
          </w:tcPr>
          <w:p w:rsidR="00E61AB9" w:rsidRDefault="00C9728B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6FF3BFDE" wp14:editId="75148BC0">
                      <wp:simplePos x="0" y="0"/>
                      <wp:positionH relativeFrom="column">
                        <wp:posOffset>4450080</wp:posOffset>
                      </wp:positionH>
                      <wp:positionV relativeFrom="page">
                        <wp:posOffset>447675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7361CA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      <v:textbox>
                        <w:txbxContent>
                          <w:p w:rsidR="003D5C89" w:rsidRDefault="007361CA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0B46B2">
              <w:rPr>
                <w:bCs/>
                <w:szCs w:val="44"/>
                <w:lang w:val="lv-LV"/>
              </w:rPr>
              <w:t>16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90AEF">
              <w:rPr>
                <w:bCs/>
                <w:szCs w:val="44"/>
                <w:lang w:val="lv-LV"/>
              </w:rPr>
              <w:t>0</w:t>
            </w:r>
            <w:r w:rsidR="00EA09AB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90AE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99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361CA">
              <w:rPr>
                <w:bCs/>
                <w:szCs w:val="44"/>
                <w:lang w:val="lv-LV"/>
              </w:rPr>
              <w:t>4/2</w:t>
            </w:r>
          </w:p>
        </w:tc>
      </w:tr>
    </w:tbl>
    <w:p w:rsidR="00244EC1" w:rsidRDefault="00244EC1" w:rsidP="00244EC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4F6B8B">
        <w:rPr>
          <w:b/>
          <w:bCs/>
        </w:rPr>
        <w:t xml:space="preserve">ERAF </w:t>
      </w:r>
      <w:r>
        <w:rPr>
          <w:b/>
          <w:bCs/>
        </w:rPr>
        <w:t>PROJEKTA “</w:t>
      </w:r>
      <w:r w:rsidR="004F6B8B">
        <w:rPr>
          <w:b/>
          <w:bCs/>
        </w:rPr>
        <w:t>KOMPLEKSU PASĀKUMU ĪSTENOŠANA SVĒTES UPES CAURPLŪDES ATJAUNOŠANAI UN PLŪDU APDRAUDĒJUMA SAMAZINĀŠANAI PIEGU</w:t>
      </w:r>
      <w:r w:rsidR="006A783E">
        <w:rPr>
          <w:b/>
          <w:bCs/>
        </w:rPr>
        <w:t>L</w:t>
      </w:r>
      <w:r w:rsidR="004F6B8B">
        <w:rPr>
          <w:b/>
          <w:bCs/>
        </w:rPr>
        <w:t>OŠAJĀS TERITORIJĀS</w:t>
      </w:r>
      <w:r>
        <w:rPr>
          <w:b/>
          <w:bCs/>
        </w:rPr>
        <w:t>” ĪSTENOŠANAI</w:t>
      </w:r>
    </w:p>
    <w:p w:rsidR="00244EC1" w:rsidRDefault="007361CA" w:rsidP="007361CA">
      <w:pPr>
        <w:jc w:val="center"/>
      </w:pPr>
      <w:r>
        <w:t>(ziņo I.Škutāne)</w:t>
      </w:r>
    </w:p>
    <w:p w:rsidR="007361CA" w:rsidRDefault="007361CA" w:rsidP="007361CA">
      <w:pPr>
        <w:jc w:val="center"/>
      </w:pPr>
    </w:p>
    <w:p w:rsidR="007361CA" w:rsidRDefault="007361CA" w:rsidP="007361CA">
      <w:pPr>
        <w:autoSpaceDE w:val="0"/>
        <w:autoSpaceDN w:val="0"/>
        <w:adjustRightInd w:val="0"/>
        <w:ind w:firstLine="720"/>
        <w:jc w:val="both"/>
        <w:rPr>
          <w:color w:val="000000"/>
          <w:lang w:eastAsia="lv-LV"/>
        </w:rPr>
      </w:pPr>
      <w:r w:rsidRPr="001C5B13">
        <w:rPr>
          <w:b/>
          <w:bCs/>
          <w:lang w:eastAsia="lv-LV"/>
        </w:rPr>
        <w:t xml:space="preserve">Atklāti balsojot: PAR – 15 </w:t>
      </w:r>
      <w:r w:rsidRPr="001C5B13">
        <w:rPr>
          <w:bCs/>
          <w:lang w:eastAsia="lv-LV"/>
        </w:rPr>
        <w:t xml:space="preserve">(A.Rāviņš, R.Vectirāne, V.Ļevčenoks, M.Buškevics, D.Olte, I.Bandeniece, A.Garančs, R.Šlegelmilhs, J.Strods, I.Jakovels, S.Stoļarovs, A.Eihvalds, L.Zīverts, G.Kurlovičs, A.Rublis), </w:t>
      </w:r>
      <w:r w:rsidRPr="001C5B13">
        <w:rPr>
          <w:b/>
          <w:color w:val="000000"/>
          <w:lang w:eastAsia="lv-LV"/>
        </w:rPr>
        <w:t xml:space="preserve">PRET- </w:t>
      </w:r>
      <w:r w:rsidRPr="001C5B13">
        <w:rPr>
          <w:color w:val="000000"/>
          <w:lang w:eastAsia="lv-LV"/>
        </w:rPr>
        <w:t>nav,</w:t>
      </w:r>
      <w:r w:rsidRPr="001C5B13">
        <w:rPr>
          <w:b/>
          <w:color w:val="000000"/>
          <w:lang w:eastAsia="lv-LV"/>
        </w:rPr>
        <w:t xml:space="preserve"> ATTURAS </w:t>
      </w:r>
      <w:r w:rsidRPr="001C5B13">
        <w:rPr>
          <w:color w:val="000000"/>
          <w:lang w:eastAsia="lv-LV"/>
        </w:rPr>
        <w:t>– nav,</w:t>
      </w:r>
      <w:bookmarkStart w:id="0" w:name="_GoBack"/>
      <w:bookmarkEnd w:id="0"/>
    </w:p>
    <w:p w:rsidR="007361CA" w:rsidRPr="002438AA" w:rsidRDefault="007361CA" w:rsidP="007361CA">
      <w:pPr>
        <w:jc w:val="center"/>
      </w:pPr>
    </w:p>
    <w:p w:rsidR="00182DA8" w:rsidRDefault="00244EC1" w:rsidP="00182DA8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</w:t>
      </w:r>
      <w:r w:rsidR="00802660" w:rsidRPr="00B1796A">
        <w:t xml:space="preserve"> </w:t>
      </w:r>
      <w:r w:rsidRPr="00B1796A">
        <w:t xml:space="preserve">21.panta pirmās daļas 27.punktu, likuma “Par pašvaldību budžetiem” VI </w:t>
      </w:r>
      <w:r w:rsidRPr="00DD6FC5">
        <w:t xml:space="preserve">nodaļu, </w:t>
      </w:r>
      <w:r w:rsidR="003B38D9" w:rsidRPr="00DD6FC5">
        <w:t xml:space="preserve">likuma “Par </w:t>
      </w:r>
      <w:r w:rsidR="00142146" w:rsidRPr="00DD6FC5">
        <w:t xml:space="preserve">valsts budžetu 2019.gadam” </w:t>
      </w:r>
      <w:r w:rsidR="00675C0B" w:rsidRPr="00DD6FC5">
        <w:t xml:space="preserve">15.panta </w:t>
      </w:r>
      <w:r w:rsidR="00142146" w:rsidRPr="00DD6FC5">
        <w:t>pirmās daļas 1.punktu</w:t>
      </w:r>
      <w:r w:rsidR="003B38D9" w:rsidRPr="00DD6FC5">
        <w:t xml:space="preserve">, </w:t>
      </w:r>
      <w:r w:rsidRPr="00DD6FC5">
        <w:t>Ministru kabineta</w:t>
      </w:r>
      <w:r w:rsidRPr="00984F46">
        <w:t xml:space="preserve"> </w:t>
      </w:r>
      <w:r w:rsidRPr="00B1796A">
        <w:t>2008.gada 25.marta noteikumiem Nr.196 ”Noteikumi par pašvaldību aizņēmumiem un galvojumiem”</w:t>
      </w:r>
      <w:r w:rsidR="00C810A4">
        <w:t>,</w:t>
      </w:r>
      <w:r w:rsidR="00EA09AB">
        <w:t xml:space="preserve"> </w:t>
      </w:r>
      <w:r w:rsidR="006D5176" w:rsidRPr="00DD63EE">
        <w:t>2018.g</w:t>
      </w:r>
      <w:r w:rsidR="006D5176">
        <w:t>ada 8</w:t>
      </w:r>
      <w:r w:rsidR="006D5176" w:rsidRPr="00DD63EE">
        <w:t>.</w:t>
      </w:r>
      <w:r w:rsidR="006D5176">
        <w:t>jūnijā</w:t>
      </w:r>
      <w:r w:rsidR="006D5176" w:rsidRPr="00DD63EE">
        <w:t xml:space="preserve"> starp Centrālo finanšu un līgumu aģentūru un Jelgavas pilsētas pašvaldības iestādi “Pilsētsaimniecība” noslēgt</w:t>
      </w:r>
      <w:r w:rsidR="00EC5D82">
        <w:t>o</w:t>
      </w:r>
      <w:r w:rsidR="006D5176" w:rsidRPr="00DD63EE">
        <w:t xml:space="preserve"> vienošan</w:t>
      </w:r>
      <w:r w:rsidR="00EC5D82">
        <w:t>o</w:t>
      </w:r>
      <w:r w:rsidR="006D5176" w:rsidRPr="00DD63EE">
        <w:t>s par Projekta īstenošanu</w:t>
      </w:r>
      <w:r w:rsidR="006D5176">
        <w:t xml:space="preserve"> </w:t>
      </w:r>
      <w:r w:rsidR="00EA09AB">
        <w:t xml:space="preserve">un </w:t>
      </w:r>
      <w:r w:rsidR="00C810A4">
        <w:t>s</w:t>
      </w:r>
      <w:r w:rsidR="006D5176" w:rsidRPr="00D50756">
        <w:rPr>
          <w:lang w:eastAsia="lv-LV"/>
        </w:rPr>
        <w:t>askaņā ar Jelgavas pilsētas pašvaldības veikt</w:t>
      </w:r>
      <w:r w:rsidR="006D5176">
        <w:rPr>
          <w:lang w:eastAsia="lv-LV"/>
        </w:rPr>
        <w:t>ā</w:t>
      </w:r>
      <w:r w:rsidR="006D5176" w:rsidRPr="00D50756">
        <w:rPr>
          <w:lang w:eastAsia="lv-LV"/>
        </w:rPr>
        <w:t xml:space="preserve"> iepirkum</w:t>
      </w:r>
      <w:r w:rsidR="006D5176">
        <w:rPr>
          <w:lang w:eastAsia="lv-LV"/>
        </w:rPr>
        <w:t>a</w:t>
      </w:r>
      <w:r w:rsidR="006D5176" w:rsidRPr="00D50756">
        <w:rPr>
          <w:lang w:eastAsia="lv-LV"/>
        </w:rPr>
        <w:t xml:space="preserve"> “</w:t>
      </w:r>
      <w:r w:rsidR="006D5176" w:rsidRPr="00D50756">
        <w:t>Svētes upes caurplūdes atjaunošana un plūdu apdraudējuma samazināšana piegulošajās teritorijās</w:t>
      </w:r>
      <w:r w:rsidR="006D5176" w:rsidRPr="00D50756">
        <w:rPr>
          <w:lang w:eastAsia="lv-LV"/>
        </w:rPr>
        <w:t>” identifikācijas</w:t>
      </w:r>
      <w:r w:rsidR="006D5176">
        <w:rPr>
          <w:lang w:eastAsia="lv-LV"/>
        </w:rPr>
        <w:t xml:space="preserve"> Nr.</w:t>
      </w:r>
      <w:r w:rsidR="006D5176" w:rsidRPr="00D50756">
        <w:t>JPD2018/121/AK</w:t>
      </w:r>
      <w:r w:rsidR="006D5176" w:rsidRPr="00D50756">
        <w:rPr>
          <w:lang w:eastAsia="lv-LV"/>
        </w:rPr>
        <w:t>, “</w:t>
      </w:r>
      <w:r w:rsidR="006D5176" w:rsidRPr="00D50756">
        <w:t>Būvdarbu īstenošanas Svētes upes caurplūdes atjaunošanai un plūdu apdraudējuma samazināšanai piegulošajās teritorijās būvuzraudzība</w:t>
      </w:r>
      <w:r w:rsidR="006D5176" w:rsidRPr="00D50756">
        <w:rPr>
          <w:lang w:eastAsia="lv-LV"/>
        </w:rPr>
        <w:t>” identifikācijas</w:t>
      </w:r>
      <w:r w:rsidR="006D5176">
        <w:rPr>
          <w:lang w:eastAsia="lv-LV"/>
        </w:rPr>
        <w:t xml:space="preserve"> Nr.</w:t>
      </w:r>
      <w:r w:rsidR="006D5176" w:rsidRPr="00D50756">
        <w:t>JPD2018/158/AK</w:t>
      </w:r>
      <w:r w:rsidR="006D5176">
        <w:rPr>
          <w:lang w:eastAsia="lv-LV"/>
        </w:rPr>
        <w:t xml:space="preserve"> un</w:t>
      </w:r>
      <w:r w:rsidR="006D5176" w:rsidRPr="00D50756">
        <w:rPr>
          <w:lang w:eastAsia="lv-LV"/>
        </w:rPr>
        <w:t xml:space="preserve"> </w:t>
      </w:r>
      <w:bookmarkStart w:id="1" w:name="_Hlk521499750"/>
      <w:r w:rsidR="006D5176" w:rsidRPr="00D50756">
        <w:rPr>
          <w:lang w:eastAsia="lv-LV"/>
        </w:rPr>
        <w:t>“Svētes upes caurplūdes atjaunošana pie Būriņu ceļa</w:t>
      </w:r>
      <w:bookmarkEnd w:id="1"/>
      <w:r w:rsidR="006D5176" w:rsidRPr="00D50756">
        <w:rPr>
          <w:lang w:eastAsia="lv-LV"/>
        </w:rPr>
        <w:t>” identifikācijas Nr.</w:t>
      </w:r>
      <w:r w:rsidR="006D5176" w:rsidRPr="00D50756">
        <w:rPr>
          <w:bCs/>
          <w:lang w:eastAsia="x-none"/>
        </w:rPr>
        <w:t>JPD2019/13/AK</w:t>
      </w:r>
      <w:r w:rsidR="006D5176">
        <w:rPr>
          <w:bCs/>
          <w:lang w:eastAsia="x-none"/>
        </w:rPr>
        <w:t xml:space="preserve"> </w:t>
      </w:r>
      <w:r w:rsidR="006D5176" w:rsidRPr="00DD63EE">
        <w:rPr>
          <w:lang w:eastAsia="lv-LV"/>
        </w:rPr>
        <w:t>rezultātiem</w:t>
      </w:r>
      <w:r w:rsidR="00182DA8">
        <w:t>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535B" w:rsidRPr="00D07041" w:rsidRDefault="0015535B" w:rsidP="0015535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</w:t>
      </w:r>
      <w:r w:rsidR="00CD2443">
        <w:rPr>
          <w:lang w:val="lv-LV"/>
        </w:rPr>
        <w:t>kredītiestādē</w:t>
      </w:r>
      <w:r>
        <w:rPr>
          <w:lang w:val="lv-LV"/>
        </w:rPr>
        <w:t xml:space="preserve"> ar tās noteikto kredīta procentu likmi ilgtermiņa aizņēmumu ERAF projekta “</w:t>
      </w:r>
      <w:r w:rsidRPr="0015535B">
        <w:rPr>
          <w:bCs/>
          <w:lang w:val="lv-LV"/>
        </w:rPr>
        <w:t>Kompleksu pasākumu īstenošana Svētes upes caurplūdes atjaunošanai un plūdu apdraudējuma samazināšanai piegulošajās teritorijās</w:t>
      </w:r>
      <w:r>
        <w:rPr>
          <w:lang w:val="lv-LV"/>
        </w:rPr>
        <w:t xml:space="preserve">” īstenošanai 2 374 772 </w:t>
      </w:r>
      <w:r>
        <w:rPr>
          <w:i/>
          <w:lang w:val="lv-LV"/>
        </w:rPr>
        <w:t>euro</w:t>
      </w:r>
      <w:r>
        <w:rPr>
          <w:lang w:val="lv-LV"/>
        </w:rPr>
        <w:t xml:space="preserve"> (divi miljoni trīs simti septiņdesmit četri tūkstoši septiņi simti septiņdesmit divi </w:t>
      </w:r>
      <w:r>
        <w:rPr>
          <w:i/>
          <w:lang w:val="lv-LV"/>
        </w:rPr>
        <w:t>euro</w:t>
      </w:r>
      <w:r>
        <w:rPr>
          <w:lang w:val="lv-LV"/>
        </w:rPr>
        <w:t>) uz 30 gadiem sadalot attiecīgi</w:t>
      </w:r>
      <w:r w:rsidRPr="00D07041">
        <w:rPr>
          <w:lang w:val="lv-LV"/>
        </w:rPr>
        <w:t xml:space="preserve"> pa gadiem:</w:t>
      </w:r>
    </w:p>
    <w:p w:rsidR="0015535B" w:rsidRDefault="0015535B" w:rsidP="0015535B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2019.gadā – </w:t>
      </w:r>
      <w:r>
        <w:rPr>
          <w:color w:val="000000"/>
          <w:lang w:val="lv-LV"/>
        </w:rPr>
        <w:t>2 080 358</w:t>
      </w:r>
      <w:r w:rsidRPr="00D57C77">
        <w:rPr>
          <w:color w:val="000000"/>
          <w:lang w:val="lv-LV"/>
        </w:rPr>
        <w:t xml:space="preserve"> </w:t>
      </w:r>
      <w:r w:rsidRPr="00D57C77">
        <w:rPr>
          <w:i/>
          <w:color w:val="000000"/>
          <w:lang w:val="lv-LV"/>
        </w:rPr>
        <w:t>euro</w:t>
      </w:r>
      <w:r w:rsidRPr="00D57C77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 xml:space="preserve">divi miljoni astoņdesmit tūkstoši trīs simti piecdesmit astoņi </w:t>
      </w:r>
      <w:r>
        <w:rPr>
          <w:i/>
          <w:color w:val="000000"/>
          <w:lang w:val="lv-LV"/>
        </w:rPr>
        <w:t>euro</w:t>
      </w:r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15535B" w:rsidRDefault="0015535B" w:rsidP="0015535B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>
        <w:rPr>
          <w:color w:val="000000"/>
          <w:szCs w:val="24"/>
          <w:lang w:val="lv-LV"/>
        </w:rPr>
        <w:t>294 414</w:t>
      </w:r>
      <w:r w:rsidRPr="00AC038F">
        <w:rPr>
          <w:i/>
          <w:lang w:val="lv-LV"/>
        </w:rPr>
        <w:t xml:space="preserve"> </w:t>
      </w:r>
      <w:r>
        <w:rPr>
          <w:i/>
          <w:lang w:val="lv-LV"/>
        </w:rPr>
        <w:t>euro</w:t>
      </w:r>
      <w:r>
        <w:rPr>
          <w:lang w:val="lv-LV"/>
        </w:rPr>
        <w:t xml:space="preserve"> (divi simti deviņdesmit četri tūkstoši četri simti četrpadsmit </w:t>
      </w:r>
      <w:r>
        <w:rPr>
          <w:i/>
          <w:lang w:val="lv-LV"/>
        </w:rPr>
        <w:t>euro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15535B" w:rsidRPr="006E1FA1" w:rsidRDefault="0015535B" w:rsidP="0015535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2</w:t>
      </w:r>
      <w:r w:rsidRPr="00860E27">
        <w:rPr>
          <w:lang w:val="lv-LV"/>
        </w:rPr>
        <w:t>.gada 20.</w:t>
      </w:r>
      <w:r>
        <w:rPr>
          <w:lang w:val="lv-LV"/>
        </w:rPr>
        <w:t>jūniju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15535B" w:rsidRPr="005010F7" w:rsidRDefault="0015535B" w:rsidP="0015535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EC1145" w:rsidRDefault="00EC1145" w:rsidP="00EC1145">
      <w:pPr>
        <w:pStyle w:val="Header"/>
        <w:tabs>
          <w:tab w:val="left" w:pos="720"/>
        </w:tabs>
        <w:rPr>
          <w:lang w:val="lv-LV"/>
        </w:rPr>
      </w:pPr>
    </w:p>
    <w:p w:rsidR="007361CA" w:rsidRDefault="007361CA" w:rsidP="007361CA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(paraksts)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A.Rāviņš</w:t>
      </w:r>
    </w:p>
    <w:p w:rsidR="007361CA" w:rsidRDefault="007361CA" w:rsidP="007361CA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:rsidR="007361CA" w:rsidRDefault="007361CA" w:rsidP="007361CA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NORAKSTS PAREIZS</w:t>
      </w:r>
    </w:p>
    <w:p w:rsidR="007361CA" w:rsidRDefault="007361CA" w:rsidP="007361CA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Administratīvās pārvaldes</w:t>
      </w:r>
    </w:p>
    <w:p w:rsidR="007361CA" w:rsidRDefault="007361CA" w:rsidP="007361CA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Kancelejas 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B.Jēkabsone</w:t>
      </w:r>
    </w:p>
    <w:p w:rsidR="007361CA" w:rsidRDefault="007361CA" w:rsidP="007361CA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2019.gada 16.aprīlī</w:t>
      </w:r>
    </w:p>
    <w:sectPr w:rsidR="007361CA" w:rsidSect="007361CA">
      <w:headerReference w:type="first" r:id="rId9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4D" w:rsidRDefault="0087554D">
      <w:r>
        <w:separator/>
      </w:r>
    </w:p>
  </w:endnote>
  <w:endnote w:type="continuationSeparator" w:id="0">
    <w:p w:rsidR="0087554D" w:rsidRDefault="0087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4D" w:rsidRDefault="0087554D">
      <w:r>
        <w:separator/>
      </w:r>
    </w:p>
  </w:footnote>
  <w:footnote w:type="continuationSeparator" w:id="0">
    <w:p w:rsidR="0087554D" w:rsidRDefault="00875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2FE7BC86" wp14:editId="68383E5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7361CA" w:rsidRPr="000C4CB0" w:rsidRDefault="007361CA" w:rsidP="007361CA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773B"/>
    <w:rsid w:val="000B46B2"/>
    <w:rsid w:val="000C4CB0"/>
    <w:rsid w:val="000E4EB6"/>
    <w:rsid w:val="00142146"/>
    <w:rsid w:val="0015535B"/>
    <w:rsid w:val="00157FB5"/>
    <w:rsid w:val="00182DA8"/>
    <w:rsid w:val="00197F0A"/>
    <w:rsid w:val="001B2E18"/>
    <w:rsid w:val="001C104F"/>
    <w:rsid w:val="001C1291"/>
    <w:rsid w:val="001C5B13"/>
    <w:rsid w:val="001D03B5"/>
    <w:rsid w:val="001E1DF1"/>
    <w:rsid w:val="002051D3"/>
    <w:rsid w:val="002438AA"/>
    <w:rsid w:val="00244EC1"/>
    <w:rsid w:val="0027126A"/>
    <w:rsid w:val="0029227E"/>
    <w:rsid w:val="002A71EA"/>
    <w:rsid w:val="002C2718"/>
    <w:rsid w:val="002D6A21"/>
    <w:rsid w:val="002D745A"/>
    <w:rsid w:val="002F4C83"/>
    <w:rsid w:val="0031251F"/>
    <w:rsid w:val="00342504"/>
    <w:rsid w:val="00344026"/>
    <w:rsid w:val="00356854"/>
    <w:rsid w:val="00373F9E"/>
    <w:rsid w:val="00390AEF"/>
    <w:rsid w:val="003959A1"/>
    <w:rsid w:val="003B26E6"/>
    <w:rsid w:val="003B38D9"/>
    <w:rsid w:val="003D12D3"/>
    <w:rsid w:val="003D5C89"/>
    <w:rsid w:val="004225C1"/>
    <w:rsid w:val="004407DF"/>
    <w:rsid w:val="0044759D"/>
    <w:rsid w:val="00486423"/>
    <w:rsid w:val="004D47D9"/>
    <w:rsid w:val="004E1BEE"/>
    <w:rsid w:val="004F6B8B"/>
    <w:rsid w:val="0050722B"/>
    <w:rsid w:val="00527806"/>
    <w:rsid w:val="00540422"/>
    <w:rsid w:val="00577970"/>
    <w:rsid w:val="005931AB"/>
    <w:rsid w:val="0060175D"/>
    <w:rsid w:val="0063151B"/>
    <w:rsid w:val="00631B8B"/>
    <w:rsid w:val="00637674"/>
    <w:rsid w:val="006457D0"/>
    <w:rsid w:val="0066324F"/>
    <w:rsid w:val="00675C0B"/>
    <w:rsid w:val="006A783E"/>
    <w:rsid w:val="006C6E94"/>
    <w:rsid w:val="006D5176"/>
    <w:rsid w:val="006D62C3"/>
    <w:rsid w:val="00714A24"/>
    <w:rsid w:val="00720161"/>
    <w:rsid w:val="007361CA"/>
    <w:rsid w:val="007419F0"/>
    <w:rsid w:val="0076543C"/>
    <w:rsid w:val="00775A0A"/>
    <w:rsid w:val="007870E5"/>
    <w:rsid w:val="007A251F"/>
    <w:rsid w:val="007F54F5"/>
    <w:rsid w:val="00802131"/>
    <w:rsid w:val="00802660"/>
    <w:rsid w:val="00807964"/>
    <w:rsid w:val="00807AB7"/>
    <w:rsid w:val="00827057"/>
    <w:rsid w:val="008562DC"/>
    <w:rsid w:val="0087554D"/>
    <w:rsid w:val="00880030"/>
    <w:rsid w:val="00892EB6"/>
    <w:rsid w:val="008E4268"/>
    <w:rsid w:val="008E76AE"/>
    <w:rsid w:val="00920668"/>
    <w:rsid w:val="00945C90"/>
    <w:rsid w:val="00946181"/>
    <w:rsid w:val="00946781"/>
    <w:rsid w:val="00972F85"/>
    <w:rsid w:val="0097415D"/>
    <w:rsid w:val="009B1A40"/>
    <w:rsid w:val="009C00E0"/>
    <w:rsid w:val="009C195F"/>
    <w:rsid w:val="00A0165C"/>
    <w:rsid w:val="00A34E59"/>
    <w:rsid w:val="00A867C4"/>
    <w:rsid w:val="00AA6D58"/>
    <w:rsid w:val="00AC038F"/>
    <w:rsid w:val="00AC29BE"/>
    <w:rsid w:val="00AC5BD7"/>
    <w:rsid w:val="00AD6F1B"/>
    <w:rsid w:val="00B02777"/>
    <w:rsid w:val="00B03FD3"/>
    <w:rsid w:val="00B35B4C"/>
    <w:rsid w:val="00B45E9E"/>
    <w:rsid w:val="00B51C9C"/>
    <w:rsid w:val="00B64D4D"/>
    <w:rsid w:val="00BB186A"/>
    <w:rsid w:val="00BB795F"/>
    <w:rsid w:val="00BE3A49"/>
    <w:rsid w:val="00BF7331"/>
    <w:rsid w:val="00BF73C5"/>
    <w:rsid w:val="00C36D3B"/>
    <w:rsid w:val="00C516D8"/>
    <w:rsid w:val="00C55292"/>
    <w:rsid w:val="00C75BF1"/>
    <w:rsid w:val="00C75E2C"/>
    <w:rsid w:val="00C810A4"/>
    <w:rsid w:val="00C86BBA"/>
    <w:rsid w:val="00C9728B"/>
    <w:rsid w:val="00CA0990"/>
    <w:rsid w:val="00CD139B"/>
    <w:rsid w:val="00CD2443"/>
    <w:rsid w:val="00CE10E1"/>
    <w:rsid w:val="00D00D85"/>
    <w:rsid w:val="00D1121C"/>
    <w:rsid w:val="00D356B6"/>
    <w:rsid w:val="00DC408F"/>
    <w:rsid w:val="00DC5428"/>
    <w:rsid w:val="00DD6FC5"/>
    <w:rsid w:val="00DF3A28"/>
    <w:rsid w:val="00E61AB9"/>
    <w:rsid w:val="00EA09AB"/>
    <w:rsid w:val="00EA770A"/>
    <w:rsid w:val="00EB10AE"/>
    <w:rsid w:val="00EC1145"/>
    <w:rsid w:val="00EC3FC4"/>
    <w:rsid w:val="00EC4C76"/>
    <w:rsid w:val="00EC518D"/>
    <w:rsid w:val="00EC5D8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95D6-9CF6-4D6C-B665-3FB951C4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2019-04-16T13:29:00Z</cp:lastPrinted>
  <dcterms:created xsi:type="dcterms:W3CDTF">2019-04-16T07:55:00Z</dcterms:created>
  <dcterms:modified xsi:type="dcterms:W3CDTF">2019-04-16T13:30:00Z</dcterms:modified>
</cp:coreProperties>
</file>