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D81E9D">
        <w:tc>
          <w:tcPr>
            <w:tcW w:w="7763" w:type="dxa"/>
          </w:tcPr>
          <w:p w:rsidR="00E61AB9" w:rsidRDefault="00C9728B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7D14BCD2" wp14:editId="1F9CC924">
                      <wp:simplePos x="0" y="0"/>
                      <wp:positionH relativeFrom="column">
                        <wp:posOffset>4450080</wp:posOffset>
                      </wp:positionH>
                      <wp:positionV relativeFrom="page">
                        <wp:posOffset>447675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D81E9D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      <v:textbox>
                        <w:txbxContent>
                          <w:p w:rsidR="003D5C89" w:rsidRDefault="00D81E9D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797D2D">
              <w:rPr>
                <w:bCs/>
                <w:szCs w:val="44"/>
                <w:lang w:val="lv-LV"/>
              </w:rPr>
              <w:t>2</w:t>
            </w:r>
            <w:r w:rsidR="00867FE7">
              <w:rPr>
                <w:bCs/>
                <w:szCs w:val="44"/>
                <w:lang w:val="lv-LV"/>
              </w:rPr>
              <w:t>5</w:t>
            </w:r>
            <w:r w:rsidR="00797D2D">
              <w:rPr>
                <w:bCs/>
                <w:szCs w:val="44"/>
                <w:lang w:val="lv-LV"/>
              </w:rPr>
              <w:t>.0</w:t>
            </w:r>
            <w:r w:rsidR="00867FE7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90AE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802660" w:rsidRDefault="00802660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81E9D">
              <w:rPr>
                <w:bCs/>
                <w:szCs w:val="44"/>
                <w:lang w:val="lv-LV"/>
              </w:rPr>
              <w:t>5/33</w:t>
            </w:r>
          </w:p>
        </w:tc>
      </w:tr>
    </w:tbl>
    <w:p w:rsidR="00244EC1" w:rsidRDefault="00244EC1" w:rsidP="00D81E9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5F6E46">
        <w:rPr>
          <w:b/>
          <w:bCs/>
        </w:rPr>
        <w:t>KOHĒZIJAS FONDA</w:t>
      </w:r>
      <w:r w:rsidR="00797D2D">
        <w:rPr>
          <w:b/>
          <w:bCs/>
        </w:rPr>
        <w:t xml:space="preserve"> </w:t>
      </w:r>
      <w:r>
        <w:rPr>
          <w:b/>
          <w:bCs/>
        </w:rPr>
        <w:t>PROJEKTA  “</w:t>
      </w:r>
      <w:r w:rsidR="003B6591">
        <w:rPr>
          <w:b/>
          <w:bCs/>
        </w:rPr>
        <w:t>LOKA MAĢISTRĀLES PĀRBŪVE POSMĀ NO KALNCIEMA CEĻA LĪDZ JELGAVAS PILSĒTAS ADMINISTRATĪVAJAI ROBEŽAI</w:t>
      </w:r>
      <w:r>
        <w:rPr>
          <w:b/>
          <w:bCs/>
        </w:rPr>
        <w:t>” ĪSTENOŠANAI</w:t>
      </w:r>
    </w:p>
    <w:p w:rsidR="00D81E9D" w:rsidRDefault="00D81E9D" w:rsidP="00D81E9D">
      <w:pPr>
        <w:ind w:left="3261" w:hanging="2552"/>
        <w:jc w:val="center"/>
      </w:pPr>
      <w:r>
        <w:t>(ziņo I.Škutāne)</w:t>
      </w:r>
    </w:p>
    <w:p w:rsidR="00D81E9D" w:rsidRDefault="00D81E9D" w:rsidP="00D81E9D">
      <w:pPr>
        <w:jc w:val="both"/>
        <w:rPr>
          <w:b/>
          <w:bCs/>
          <w:lang w:eastAsia="lv-LV"/>
        </w:rPr>
      </w:pPr>
    </w:p>
    <w:p w:rsidR="00D81E9D" w:rsidRDefault="009F6A33" w:rsidP="00D81E9D">
      <w:pPr>
        <w:jc w:val="both"/>
        <w:rPr>
          <w:bCs/>
          <w:lang w:eastAsia="lv-LV"/>
        </w:rPr>
      </w:pPr>
      <w:r w:rsidRPr="009F6A33">
        <w:rPr>
          <w:b/>
          <w:bCs/>
          <w:lang w:eastAsia="lv-LV"/>
        </w:rPr>
        <w:t>Atklāti balsojot: PAR – 13</w:t>
      </w:r>
      <w:r w:rsidR="00D81E9D" w:rsidRPr="009F6A33">
        <w:rPr>
          <w:b/>
          <w:bCs/>
          <w:lang w:eastAsia="lv-LV"/>
        </w:rPr>
        <w:t xml:space="preserve"> </w:t>
      </w:r>
      <w:r w:rsidR="00D81E9D" w:rsidRPr="009F6A33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="00D81E9D" w:rsidRPr="009F6A33">
        <w:rPr>
          <w:b/>
          <w:color w:val="000000"/>
          <w:lang w:eastAsia="lv-LV"/>
        </w:rPr>
        <w:t xml:space="preserve">PRET- </w:t>
      </w:r>
      <w:r w:rsidR="00D81E9D" w:rsidRPr="009F6A33">
        <w:rPr>
          <w:color w:val="000000"/>
          <w:lang w:eastAsia="lv-LV"/>
        </w:rPr>
        <w:t>nav,</w:t>
      </w:r>
      <w:r w:rsidR="00D81E9D" w:rsidRPr="009F6A33">
        <w:rPr>
          <w:b/>
          <w:color w:val="000000"/>
          <w:lang w:eastAsia="lv-LV"/>
        </w:rPr>
        <w:t xml:space="preserve"> ATTURAS </w:t>
      </w:r>
      <w:r w:rsidR="00D81E9D" w:rsidRPr="009F6A33">
        <w:rPr>
          <w:color w:val="000000"/>
          <w:lang w:eastAsia="lv-LV"/>
        </w:rPr>
        <w:t>– nav</w:t>
      </w:r>
      <w:r w:rsidR="00D81E9D" w:rsidRPr="009F6A33">
        <w:rPr>
          <w:bCs/>
          <w:lang w:eastAsia="lv-LV"/>
        </w:rPr>
        <w:t>,</w:t>
      </w:r>
    </w:p>
    <w:p w:rsidR="00244EC1" w:rsidRPr="002438AA" w:rsidRDefault="00244EC1" w:rsidP="00244EC1"/>
    <w:p w:rsidR="00544B9B" w:rsidRDefault="00544B9B" w:rsidP="00544B9B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>“Par pašvaldībām” 21.p</w:t>
      </w:r>
      <w:bookmarkStart w:id="0" w:name="_GoBack"/>
      <w:bookmarkEnd w:id="0"/>
      <w:r w:rsidRPr="00B1796A">
        <w:t xml:space="preserve">anta pirmās daļas 27.punktu, likuma “Par pašvaldību budžetiem” VI </w:t>
      </w:r>
      <w:r w:rsidRPr="00DD6FC5">
        <w:t>nodaļu, likuma “Par valsts budžetu 2019.gadam” 15.panta pirmās daļas 1.punktu, Ministru kabineta</w:t>
      </w:r>
      <w:r w:rsidRPr="00984F46">
        <w:t xml:space="preserve"> </w:t>
      </w:r>
      <w:r w:rsidRPr="00B1796A">
        <w:t>2008.gada 25.marta noteikumiem Nr.196 ”Noteikumi par pašvaldību aizņēmumiem un galvojumiem”</w:t>
      </w:r>
      <w:r>
        <w:t xml:space="preserve">, </w:t>
      </w:r>
      <w:r w:rsidRPr="00A01C06">
        <w:t>201</w:t>
      </w:r>
      <w:r w:rsidR="00A01C06" w:rsidRPr="00A01C06">
        <w:t>7</w:t>
      </w:r>
      <w:r w:rsidRPr="00A01C06">
        <w:t xml:space="preserve">.gada </w:t>
      </w:r>
      <w:r w:rsidR="00A01C06" w:rsidRPr="00A01C06">
        <w:t>7</w:t>
      </w:r>
      <w:r w:rsidRPr="00A01C06">
        <w:t>.</w:t>
      </w:r>
      <w:r w:rsidR="00A01C06" w:rsidRPr="00A01C06">
        <w:t>decembrī</w:t>
      </w:r>
      <w:r w:rsidRPr="00A01C06">
        <w:t xml:space="preserve"> starp Centrālo finanšu un līgumu aģentūru un Jelgavas pilsētas </w:t>
      </w:r>
      <w:r w:rsidR="00A01C06" w:rsidRPr="00A01C06">
        <w:t>domi</w:t>
      </w:r>
      <w:r w:rsidRPr="00A01C06">
        <w:t xml:space="preserve"> noslēgto vienošanos</w:t>
      </w:r>
      <w:r w:rsidR="00A01C06" w:rsidRPr="00A01C06">
        <w:t xml:space="preserve"> Nr.6.1.4.2/17/I/005  </w:t>
      </w:r>
      <w:r w:rsidRPr="00A01C06">
        <w:t xml:space="preserve">par </w:t>
      </w:r>
      <w:r w:rsidR="008162A4">
        <w:t>Kohēzijas fonda p</w:t>
      </w:r>
      <w:r w:rsidRPr="00A01C06">
        <w:t>rojekta</w:t>
      </w:r>
      <w:r w:rsidR="008162A4">
        <w:t xml:space="preserve"> “</w:t>
      </w:r>
      <w:r w:rsidR="008162A4" w:rsidRPr="00506A22">
        <w:t>Loka maģistrāles pārbūve posmā no Kalnciema ceļa līdz Jelgavas pilsētas administratīvai robežai</w:t>
      </w:r>
      <w:r w:rsidR="008162A4">
        <w:t>”</w:t>
      </w:r>
      <w:r w:rsidRPr="00A01C06">
        <w:t xml:space="preserve"> īstenošanu</w:t>
      </w:r>
      <w:r w:rsidRPr="005F6E46">
        <w:rPr>
          <w:color w:val="FF0000"/>
        </w:rPr>
        <w:t xml:space="preserve"> </w:t>
      </w:r>
      <w:r>
        <w:t>un s</w:t>
      </w:r>
      <w:r w:rsidRPr="00D50756">
        <w:rPr>
          <w:lang w:eastAsia="lv-LV"/>
        </w:rPr>
        <w:t>askaņā ar Jelgavas pilsētas pašvaldības veikt</w:t>
      </w:r>
      <w:r w:rsidR="008162A4">
        <w:rPr>
          <w:lang w:eastAsia="lv-LV"/>
        </w:rPr>
        <w:t>ā</w:t>
      </w:r>
      <w:r w:rsidRPr="00D50756">
        <w:rPr>
          <w:lang w:eastAsia="lv-LV"/>
        </w:rPr>
        <w:t xml:space="preserve"> iepirkum</w:t>
      </w:r>
      <w:r>
        <w:rPr>
          <w:lang w:eastAsia="lv-LV"/>
        </w:rPr>
        <w:t>a</w:t>
      </w:r>
      <w:r w:rsidRPr="00D50756">
        <w:rPr>
          <w:lang w:eastAsia="lv-LV"/>
        </w:rPr>
        <w:t xml:space="preserve"> “</w:t>
      </w:r>
      <w:r w:rsidR="005F6E46">
        <w:rPr>
          <w:lang w:eastAsia="lv-LV"/>
        </w:rPr>
        <w:t>Loka maģistrāles pārbūve posmā no Kalnciema ceļa līdz Jelgavas pilsētas administratīvai robežai</w:t>
      </w:r>
      <w:r w:rsidRPr="00D50756">
        <w:rPr>
          <w:lang w:eastAsia="lv-LV"/>
        </w:rPr>
        <w:t>”</w:t>
      </w:r>
      <w:r w:rsidR="008162A4">
        <w:rPr>
          <w:lang w:eastAsia="lv-LV"/>
        </w:rPr>
        <w:t>,</w:t>
      </w:r>
      <w:r w:rsidRPr="00D50756">
        <w:rPr>
          <w:lang w:eastAsia="lv-LV"/>
        </w:rPr>
        <w:t xml:space="preserve"> identifikācijas</w:t>
      </w:r>
      <w:r>
        <w:rPr>
          <w:lang w:eastAsia="lv-LV"/>
        </w:rPr>
        <w:t xml:space="preserve"> Nr.</w:t>
      </w:r>
      <w:r w:rsidRPr="00D50756">
        <w:t>JPD2018/12/AK</w:t>
      </w:r>
      <w:r w:rsidRPr="00D50756">
        <w:rPr>
          <w:lang w:eastAsia="lv-LV"/>
        </w:rPr>
        <w:t>, “</w:t>
      </w:r>
      <w:r w:rsidR="005F6E46">
        <w:t xml:space="preserve">Loka maģistrāles pārbūve </w:t>
      </w:r>
      <w:r w:rsidR="00506A22">
        <w:t>būvuzraudzība</w:t>
      </w:r>
      <w:r w:rsidRPr="00D50756">
        <w:rPr>
          <w:lang w:eastAsia="lv-LV"/>
        </w:rPr>
        <w:t>”</w:t>
      </w:r>
      <w:r w:rsidR="008162A4">
        <w:rPr>
          <w:lang w:eastAsia="lv-LV"/>
        </w:rPr>
        <w:t>,</w:t>
      </w:r>
      <w:r w:rsidRPr="00D50756">
        <w:rPr>
          <w:lang w:eastAsia="lv-LV"/>
        </w:rPr>
        <w:t xml:space="preserve"> identifikācijas</w:t>
      </w:r>
      <w:r>
        <w:rPr>
          <w:lang w:eastAsia="lv-LV"/>
        </w:rPr>
        <w:t xml:space="preserve"> Nr.</w:t>
      </w:r>
      <w:r w:rsidRPr="00D50756">
        <w:t>JPD201</w:t>
      </w:r>
      <w:r w:rsidR="00506A22">
        <w:t>7</w:t>
      </w:r>
      <w:r w:rsidRPr="00D50756">
        <w:t>/</w:t>
      </w:r>
      <w:r w:rsidR="00506A22">
        <w:t>130</w:t>
      </w:r>
      <w:r w:rsidRPr="00D50756">
        <w:t>/AK</w:t>
      </w:r>
      <w:r w:rsidR="00506A22">
        <w:t>, “Būvprojekta “</w:t>
      </w:r>
      <w:r w:rsidR="00506A22">
        <w:rPr>
          <w:lang w:eastAsia="lv-LV"/>
        </w:rPr>
        <w:t>Loka maģistrāles pārbūve posmā no Kalnciema ceļa līdz Jelgavas pilsētas administratīvai robežai” izstrāde un autoruzraudzība”</w:t>
      </w:r>
      <w:r w:rsidR="008162A4">
        <w:rPr>
          <w:lang w:eastAsia="lv-LV"/>
        </w:rPr>
        <w:t>,</w:t>
      </w:r>
      <w:r w:rsidR="00506A22">
        <w:rPr>
          <w:lang w:eastAsia="lv-LV"/>
        </w:rPr>
        <w:t xml:space="preserve"> identifikācijas Nr.JPD2014/213/AK </w:t>
      </w:r>
      <w:r>
        <w:rPr>
          <w:lang w:eastAsia="lv-LV"/>
        </w:rPr>
        <w:t>un</w:t>
      </w:r>
      <w:r w:rsidRPr="00D50756">
        <w:rPr>
          <w:lang w:eastAsia="lv-LV"/>
        </w:rPr>
        <w:t xml:space="preserve"> </w:t>
      </w:r>
      <w:bookmarkStart w:id="1" w:name="_Hlk521499750"/>
      <w:r w:rsidRPr="00D50756">
        <w:rPr>
          <w:lang w:eastAsia="lv-LV"/>
        </w:rPr>
        <w:t>“</w:t>
      </w:r>
      <w:bookmarkEnd w:id="1"/>
      <w:r w:rsidR="00506A22">
        <w:rPr>
          <w:lang w:eastAsia="lv-LV"/>
        </w:rPr>
        <w:t>Gais</w:t>
      </w:r>
      <w:r w:rsidR="009B2E5C">
        <w:rPr>
          <w:lang w:eastAsia="lv-LV"/>
        </w:rPr>
        <w:t>vadu</w:t>
      </w:r>
      <w:r w:rsidR="00506A22">
        <w:rPr>
          <w:lang w:eastAsia="lv-LV"/>
        </w:rPr>
        <w:t xml:space="preserve"> līniju pārbūve zem pārvada pār dzelzceļu Loka maģistrālei”</w:t>
      </w:r>
      <w:r w:rsidR="008162A4">
        <w:rPr>
          <w:lang w:eastAsia="lv-LV"/>
        </w:rPr>
        <w:t>,</w:t>
      </w:r>
      <w:r w:rsidRPr="00D50756">
        <w:rPr>
          <w:lang w:eastAsia="lv-LV"/>
        </w:rPr>
        <w:t xml:space="preserve"> identifikācijas Nr.</w:t>
      </w:r>
      <w:r w:rsidRPr="00D50756">
        <w:rPr>
          <w:bCs/>
          <w:lang w:eastAsia="x-none"/>
        </w:rPr>
        <w:t>JPD201</w:t>
      </w:r>
      <w:r w:rsidR="00506A22">
        <w:rPr>
          <w:bCs/>
          <w:lang w:eastAsia="x-none"/>
        </w:rPr>
        <w:t>8</w:t>
      </w:r>
      <w:r w:rsidRPr="00D50756">
        <w:rPr>
          <w:bCs/>
          <w:lang w:eastAsia="x-none"/>
        </w:rPr>
        <w:t>/</w:t>
      </w:r>
      <w:r w:rsidR="00506A22">
        <w:rPr>
          <w:bCs/>
          <w:lang w:eastAsia="x-none"/>
        </w:rPr>
        <w:t>9</w:t>
      </w:r>
      <w:r w:rsidRPr="00D50756">
        <w:rPr>
          <w:bCs/>
          <w:lang w:eastAsia="x-none"/>
        </w:rPr>
        <w:t>/</w:t>
      </w:r>
      <w:r w:rsidR="00506A22">
        <w:rPr>
          <w:bCs/>
          <w:lang w:eastAsia="x-none"/>
        </w:rPr>
        <w:t>MI</w:t>
      </w:r>
      <w:r>
        <w:rPr>
          <w:bCs/>
          <w:lang w:eastAsia="x-none"/>
        </w:rPr>
        <w:t xml:space="preserve"> </w:t>
      </w:r>
      <w:r w:rsidRPr="00DD63EE">
        <w:rPr>
          <w:lang w:eastAsia="lv-LV"/>
        </w:rPr>
        <w:t>rezultātiem</w:t>
      </w:r>
      <w:r>
        <w:t>,</w:t>
      </w:r>
    </w:p>
    <w:p w:rsidR="00244EC1" w:rsidRDefault="00244EC1" w:rsidP="00182DA8">
      <w:pPr>
        <w:autoSpaceDE w:val="0"/>
        <w:autoSpaceDN w:val="0"/>
        <w:adjustRightInd w:val="0"/>
        <w:ind w:firstLine="720"/>
        <w:contextualSpacing/>
        <w:jc w:val="both"/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F6BAA" w:rsidRPr="00D07041" w:rsidRDefault="00EC1145" w:rsidP="007F6B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vai </w:t>
      </w:r>
      <w:r w:rsidR="00506A22">
        <w:rPr>
          <w:lang w:val="lv-LV"/>
        </w:rPr>
        <w:t>kredītiestādē</w:t>
      </w:r>
      <w:r>
        <w:rPr>
          <w:lang w:val="lv-LV"/>
        </w:rPr>
        <w:t xml:space="preserve"> ar tās noteikto kredīta procentu likmi ilgtermiņa aizņēmumu </w:t>
      </w:r>
      <w:r w:rsidR="00506A22">
        <w:rPr>
          <w:lang w:val="lv-LV"/>
        </w:rPr>
        <w:t xml:space="preserve">Kohēzijas fonda </w:t>
      </w:r>
      <w:r>
        <w:rPr>
          <w:lang w:val="lv-LV"/>
        </w:rPr>
        <w:t>projekta “</w:t>
      </w:r>
      <w:r w:rsidR="00506A22" w:rsidRPr="00506A22">
        <w:rPr>
          <w:lang w:val="lv-LV"/>
        </w:rPr>
        <w:t>Loka maģistrāles pārbūve posmā no Kalnciema ceļa līdz Jelgavas pilsētas administratīvai robežai</w:t>
      </w:r>
      <w:r w:rsidRPr="00506A22">
        <w:rPr>
          <w:lang w:val="lv-LV"/>
        </w:rPr>
        <w:t>”</w:t>
      </w:r>
      <w:r>
        <w:rPr>
          <w:lang w:val="lv-LV"/>
        </w:rPr>
        <w:t xml:space="preserve"> īstenošanai </w:t>
      </w:r>
      <w:r w:rsidR="004A763F" w:rsidRPr="00A67DA5">
        <w:rPr>
          <w:szCs w:val="24"/>
          <w:lang w:val="lv-LV"/>
        </w:rPr>
        <w:t xml:space="preserve">10 367 403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4A763F">
        <w:rPr>
          <w:lang w:val="lv-LV"/>
        </w:rPr>
        <w:t>desmit</w:t>
      </w:r>
      <w:r w:rsidR="00797D2D">
        <w:rPr>
          <w:lang w:val="lv-LV"/>
        </w:rPr>
        <w:t xml:space="preserve"> miljoni </w:t>
      </w:r>
      <w:r w:rsidR="004A763F">
        <w:rPr>
          <w:lang w:val="lv-LV"/>
        </w:rPr>
        <w:t>trīs</w:t>
      </w:r>
      <w:r w:rsidR="00797D2D">
        <w:rPr>
          <w:lang w:val="lv-LV"/>
        </w:rPr>
        <w:t xml:space="preserve"> simti </w:t>
      </w:r>
      <w:r w:rsidR="004A763F">
        <w:rPr>
          <w:lang w:val="lv-LV"/>
        </w:rPr>
        <w:t>seš</w:t>
      </w:r>
      <w:r w:rsidR="00797D2D">
        <w:rPr>
          <w:lang w:val="lv-LV"/>
        </w:rPr>
        <w:t xml:space="preserve">desmit </w:t>
      </w:r>
      <w:r w:rsidR="004A763F">
        <w:rPr>
          <w:lang w:val="lv-LV"/>
        </w:rPr>
        <w:t xml:space="preserve">septiņi </w:t>
      </w:r>
      <w:r w:rsidR="00797D2D">
        <w:rPr>
          <w:lang w:val="lv-LV"/>
        </w:rPr>
        <w:t xml:space="preserve">tūkstoši </w:t>
      </w:r>
      <w:r w:rsidR="004A763F">
        <w:rPr>
          <w:lang w:val="lv-LV"/>
        </w:rPr>
        <w:t>četri</w:t>
      </w:r>
      <w:r w:rsidR="00797D2D">
        <w:rPr>
          <w:lang w:val="lv-LV"/>
        </w:rPr>
        <w:t xml:space="preserve"> simti </w:t>
      </w:r>
      <w:r w:rsidR="004A763F">
        <w:rPr>
          <w:lang w:val="lv-LV"/>
        </w:rPr>
        <w:t>trīs</w:t>
      </w:r>
      <w:r w:rsidR="00797D2D">
        <w:rPr>
          <w:lang w:val="lv-LV"/>
        </w:rPr>
        <w:t xml:space="preserve"> </w:t>
      </w:r>
      <w:proofErr w:type="spellStart"/>
      <w:r w:rsidR="00797D2D">
        <w:rPr>
          <w:i/>
          <w:lang w:val="lv-LV"/>
        </w:rPr>
        <w:t>euro</w:t>
      </w:r>
      <w:proofErr w:type="spellEnd"/>
      <w:r>
        <w:rPr>
          <w:lang w:val="lv-LV"/>
        </w:rPr>
        <w:t xml:space="preserve">) uz </w:t>
      </w:r>
      <w:r w:rsidR="00F01154">
        <w:rPr>
          <w:lang w:val="lv-LV"/>
        </w:rPr>
        <w:t>30</w:t>
      </w:r>
      <w:r>
        <w:rPr>
          <w:lang w:val="lv-LV"/>
        </w:rPr>
        <w:t xml:space="preserve"> gadiem</w:t>
      </w:r>
      <w:r w:rsidR="00F01154">
        <w:rPr>
          <w:lang w:val="lv-LV"/>
        </w:rPr>
        <w:t xml:space="preserve"> </w:t>
      </w:r>
      <w:r w:rsidR="007F6BAA">
        <w:rPr>
          <w:lang w:val="lv-LV"/>
        </w:rPr>
        <w:t>sadalot attiecīgi</w:t>
      </w:r>
      <w:r w:rsidR="007F6BAA" w:rsidRPr="00D07041">
        <w:rPr>
          <w:lang w:val="lv-LV"/>
        </w:rPr>
        <w:t xml:space="preserve"> pa gadiem:</w:t>
      </w:r>
    </w:p>
    <w:p w:rsidR="007F6BAA" w:rsidRDefault="007F6BAA" w:rsidP="007F6BA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2019.gadā – </w:t>
      </w:r>
      <w:r w:rsidR="00827E03" w:rsidRPr="00366A6C">
        <w:rPr>
          <w:szCs w:val="24"/>
        </w:rPr>
        <w:t>3 931</w:t>
      </w:r>
      <w:r w:rsidR="00827E03">
        <w:rPr>
          <w:szCs w:val="24"/>
        </w:rPr>
        <w:t> </w:t>
      </w:r>
      <w:r w:rsidR="00827E03" w:rsidRPr="00366A6C">
        <w:rPr>
          <w:szCs w:val="24"/>
        </w:rPr>
        <w:t>170</w:t>
      </w:r>
      <w:r w:rsidR="00827E03">
        <w:rPr>
          <w:szCs w:val="24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 w:rsidR="00DF2EB2">
        <w:rPr>
          <w:color w:val="000000"/>
          <w:lang w:val="lv-LV"/>
        </w:rPr>
        <w:t>trīs</w:t>
      </w:r>
      <w:r>
        <w:rPr>
          <w:color w:val="000000"/>
          <w:lang w:val="lv-LV"/>
        </w:rPr>
        <w:t xml:space="preserve"> miljoni deviņi simti </w:t>
      </w:r>
      <w:r w:rsidR="00DF2EB2">
        <w:rPr>
          <w:color w:val="000000"/>
          <w:lang w:val="lv-LV"/>
        </w:rPr>
        <w:t>trīs</w:t>
      </w:r>
      <w:r>
        <w:rPr>
          <w:color w:val="000000"/>
          <w:lang w:val="lv-LV"/>
        </w:rPr>
        <w:t xml:space="preserve">desmit </w:t>
      </w:r>
      <w:r w:rsidR="00DF2EB2">
        <w:rPr>
          <w:color w:val="000000"/>
          <w:lang w:val="lv-LV"/>
        </w:rPr>
        <w:t xml:space="preserve">viens </w:t>
      </w:r>
      <w:r>
        <w:rPr>
          <w:color w:val="000000"/>
          <w:lang w:val="lv-LV"/>
        </w:rPr>
        <w:t>tūksto</w:t>
      </w:r>
      <w:r w:rsidR="00DF2EB2">
        <w:rPr>
          <w:color w:val="000000"/>
          <w:lang w:val="lv-LV"/>
        </w:rPr>
        <w:t>tis</w:t>
      </w:r>
      <w:r>
        <w:rPr>
          <w:color w:val="000000"/>
          <w:lang w:val="lv-LV"/>
        </w:rPr>
        <w:t xml:space="preserve"> </w:t>
      </w:r>
      <w:r w:rsidR="00DF2EB2">
        <w:rPr>
          <w:color w:val="000000"/>
          <w:lang w:val="lv-LV"/>
        </w:rPr>
        <w:t>viens</w:t>
      </w:r>
      <w:r>
        <w:rPr>
          <w:color w:val="000000"/>
          <w:lang w:val="lv-LV"/>
        </w:rPr>
        <w:t xml:space="preserve"> simt</w:t>
      </w:r>
      <w:r w:rsidR="00DF2EB2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r w:rsidR="00DF2EB2">
        <w:rPr>
          <w:color w:val="000000"/>
          <w:lang w:val="lv-LV"/>
        </w:rPr>
        <w:t>septiņ</w:t>
      </w:r>
      <w:r>
        <w:rPr>
          <w:color w:val="000000"/>
          <w:lang w:val="lv-LV"/>
        </w:rPr>
        <w:t xml:space="preserve">desmit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7F6BAA" w:rsidRDefault="007F6BAA" w:rsidP="007F6BA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2020.gadā – </w:t>
      </w:r>
      <w:r w:rsidR="00D71C4D" w:rsidRPr="00A67DA5">
        <w:rPr>
          <w:szCs w:val="24"/>
          <w:lang w:val="lv-LV"/>
        </w:rPr>
        <w:t>6 436 233</w:t>
      </w:r>
      <w:r>
        <w:rPr>
          <w:i/>
          <w:lang w:val="lv-LV"/>
        </w:rPr>
        <w:t>euro</w:t>
      </w:r>
      <w:r>
        <w:rPr>
          <w:lang w:val="lv-LV"/>
        </w:rPr>
        <w:t xml:space="preserve"> (</w:t>
      </w:r>
      <w:r w:rsidR="00D71C4D">
        <w:rPr>
          <w:lang w:val="lv-LV"/>
        </w:rPr>
        <w:t>seši</w:t>
      </w:r>
      <w:r w:rsidR="000054BF">
        <w:rPr>
          <w:lang w:val="lv-LV"/>
        </w:rPr>
        <w:t xml:space="preserve"> miljoni </w:t>
      </w:r>
      <w:r w:rsidR="00D71C4D">
        <w:rPr>
          <w:lang w:val="lv-LV"/>
        </w:rPr>
        <w:t>četri</w:t>
      </w:r>
      <w:r w:rsidR="000054BF">
        <w:rPr>
          <w:lang w:val="lv-LV"/>
        </w:rPr>
        <w:t xml:space="preserve"> simti </w:t>
      </w:r>
      <w:r w:rsidR="00D71C4D">
        <w:rPr>
          <w:lang w:val="lv-LV"/>
        </w:rPr>
        <w:t>trīs</w:t>
      </w:r>
      <w:r w:rsidR="000054BF">
        <w:rPr>
          <w:lang w:val="lv-LV"/>
        </w:rPr>
        <w:t xml:space="preserve">desmit </w:t>
      </w:r>
      <w:r w:rsidR="00D71C4D">
        <w:rPr>
          <w:lang w:val="lv-LV"/>
        </w:rPr>
        <w:t xml:space="preserve">seši </w:t>
      </w:r>
      <w:r w:rsidR="000054BF">
        <w:rPr>
          <w:lang w:val="lv-LV"/>
        </w:rPr>
        <w:t xml:space="preserve">tūkstoši </w:t>
      </w:r>
      <w:r w:rsidR="00D71C4D">
        <w:rPr>
          <w:lang w:val="lv-LV"/>
        </w:rPr>
        <w:t>divi</w:t>
      </w:r>
      <w:r w:rsidR="000054BF">
        <w:rPr>
          <w:lang w:val="lv-LV"/>
        </w:rPr>
        <w:t xml:space="preserve"> simt</w:t>
      </w:r>
      <w:r w:rsidR="00D71C4D">
        <w:rPr>
          <w:lang w:val="lv-LV"/>
        </w:rPr>
        <w:t>i</w:t>
      </w:r>
      <w:r w:rsidR="000054BF">
        <w:rPr>
          <w:lang w:val="lv-LV"/>
        </w:rPr>
        <w:t xml:space="preserve"> </w:t>
      </w:r>
      <w:r w:rsidR="00D71C4D">
        <w:rPr>
          <w:lang w:val="lv-LV"/>
        </w:rPr>
        <w:t>trīs</w:t>
      </w:r>
      <w:r w:rsidR="000054BF">
        <w:rPr>
          <w:lang w:val="lv-LV"/>
        </w:rPr>
        <w:t xml:space="preserve">desmit </w:t>
      </w:r>
      <w:r w:rsidR="00D71C4D">
        <w:rPr>
          <w:lang w:val="lv-LV"/>
        </w:rPr>
        <w:t>trīs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7F6BAA" w:rsidRPr="006E1FA1" w:rsidRDefault="007F6BAA" w:rsidP="007F6B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2</w:t>
      </w:r>
      <w:r w:rsidRPr="00860E27">
        <w:rPr>
          <w:lang w:val="lv-LV"/>
        </w:rPr>
        <w:t>.gada 20.</w:t>
      </w:r>
      <w:r w:rsidR="000B1CFC">
        <w:rPr>
          <w:lang w:val="lv-LV"/>
        </w:rPr>
        <w:t>jūniju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7F6BAA" w:rsidRPr="005010F7" w:rsidRDefault="007F6BAA" w:rsidP="007F6B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EC1145" w:rsidRDefault="00EC1145" w:rsidP="00EC1145">
      <w:pPr>
        <w:pStyle w:val="Header"/>
        <w:tabs>
          <w:tab w:val="left" w:pos="720"/>
        </w:tabs>
        <w:rPr>
          <w:lang w:val="lv-LV"/>
        </w:rPr>
      </w:pPr>
    </w:p>
    <w:p w:rsidR="00D81E9D" w:rsidRPr="00EE3648" w:rsidRDefault="00D81E9D" w:rsidP="00D81E9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D81E9D" w:rsidRDefault="00D81E9D" w:rsidP="00D81E9D">
      <w:pPr>
        <w:rPr>
          <w:color w:val="000000"/>
          <w:lang w:eastAsia="lv-LV"/>
        </w:rPr>
      </w:pPr>
    </w:p>
    <w:p w:rsidR="00D81E9D" w:rsidRDefault="00D81E9D" w:rsidP="00D81E9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81E9D" w:rsidRDefault="00D81E9D" w:rsidP="00D81E9D">
      <w:pPr>
        <w:tabs>
          <w:tab w:val="left" w:pos="3960"/>
        </w:tabs>
        <w:jc w:val="both"/>
      </w:pPr>
      <w:r>
        <w:t xml:space="preserve">Administratīvās pārvaldes </w:t>
      </w:r>
    </w:p>
    <w:p w:rsidR="00D81E9D" w:rsidRDefault="00D81E9D" w:rsidP="00D81E9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81E9D" w:rsidRDefault="00D81E9D" w:rsidP="00D81E9D">
      <w:pPr>
        <w:jc w:val="both"/>
      </w:pPr>
      <w:r>
        <w:t>2019.gada 25.aprīlī</w:t>
      </w:r>
    </w:p>
    <w:sectPr w:rsidR="00D81E9D" w:rsidSect="00D81E9D"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FD" w:rsidRDefault="00D267FD">
      <w:r>
        <w:separator/>
      </w:r>
    </w:p>
  </w:endnote>
  <w:endnote w:type="continuationSeparator" w:id="0">
    <w:p w:rsidR="00D267FD" w:rsidRDefault="00D2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FD" w:rsidRDefault="00D267FD">
      <w:r>
        <w:separator/>
      </w:r>
    </w:p>
  </w:footnote>
  <w:footnote w:type="continuationSeparator" w:id="0">
    <w:p w:rsidR="00D267FD" w:rsidRDefault="00D2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718A0F7" wp14:editId="46E4000B">
          <wp:extent cx="638175" cy="76753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A67DA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67DA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5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054BF"/>
    <w:rsid w:val="0000773B"/>
    <w:rsid w:val="000B1CFC"/>
    <w:rsid w:val="000C4CB0"/>
    <w:rsid w:val="000E4EB6"/>
    <w:rsid w:val="000F48A3"/>
    <w:rsid w:val="00157FB5"/>
    <w:rsid w:val="00182DA8"/>
    <w:rsid w:val="00197F0A"/>
    <w:rsid w:val="001B2E18"/>
    <w:rsid w:val="001C104F"/>
    <w:rsid w:val="001C1291"/>
    <w:rsid w:val="001E1DF1"/>
    <w:rsid w:val="002051D3"/>
    <w:rsid w:val="002438AA"/>
    <w:rsid w:val="00244EC1"/>
    <w:rsid w:val="00264453"/>
    <w:rsid w:val="0027126A"/>
    <w:rsid w:val="0029227E"/>
    <w:rsid w:val="002A71EA"/>
    <w:rsid w:val="002C2718"/>
    <w:rsid w:val="002D745A"/>
    <w:rsid w:val="002D7BDE"/>
    <w:rsid w:val="002F4C83"/>
    <w:rsid w:val="0031251F"/>
    <w:rsid w:val="00342504"/>
    <w:rsid w:val="00356854"/>
    <w:rsid w:val="00373F9E"/>
    <w:rsid w:val="00390AEF"/>
    <w:rsid w:val="003959A1"/>
    <w:rsid w:val="003B26E6"/>
    <w:rsid w:val="003B6591"/>
    <w:rsid w:val="003D12D3"/>
    <w:rsid w:val="003D5C89"/>
    <w:rsid w:val="004020E4"/>
    <w:rsid w:val="004407DF"/>
    <w:rsid w:val="0044759D"/>
    <w:rsid w:val="004A763F"/>
    <w:rsid w:val="004D47D9"/>
    <w:rsid w:val="004E1BEE"/>
    <w:rsid w:val="00506A22"/>
    <w:rsid w:val="0050722B"/>
    <w:rsid w:val="00527806"/>
    <w:rsid w:val="00540422"/>
    <w:rsid w:val="00544B9B"/>
    <w:rsid w:val="00577970"/>
    <w:rsid w:val="005931AB"/>
    <w:rsid w:val="005F6E46"/>
    <w:rsid w:val="0060175D"/>
    <w:rsid w:val="0063151B"/>
    <w:rsid w:val="00631B8B"/>
    <w:rsid w:val="00637674"/>
    <w:rsid w:val="006457D0"/>
    <w:rsid w:val="0066324F"/>
    <w:rsid w:val="006D62C3"/>
    <w:rsid w:val="00714A24"/>
    <w:rsid w:val="00720161"/>
    <w:rsid w:val="007419F0"/>
    <w:rsid w:val="0076543C"/>
    <w:rsid w:val="007870E5"/>
    <w:rsid w:val="00797D2D"/>
    <w:rsid w:val="007A251F"/>
    <w:rsid w:val="007F54F5"/>
    <w:rsid w:val="007F6BAA"/>
    <w:rsid w:val="00802131"/>
    <w:rsid w:val="00802660"/>
    <w:rsid w:val="00807964"/>
    <w:rsid w:val="00807AB7"/>
    <w:rsid w:val="008162A4"/>
    <w:rsid w:val="00827057"/>
    <w:rsid w:val="00827E03"/>
    <w:rsid w:val="008562DC"/>
    <w:rsid w:val="00867FE7"/>
    <w:rsid w:val="00880030"/>
    <w:rsid w:val="00892EB6"/>
    <w:rsid w:val="008E76AE"/>
    <w:rsid w:val="00920668"/>
    <w:rsid w:val="00945C90"/>
    <w:rsid w:val="00946181"/>
    <w:rsid w:val="0097415D"/>
    <w:rsid w:val="009A1678"/>
    <w:rsid w:val="009B1A40"/>
    <w:rsid w:val="009B2E5C"/>
    <w:rsid w:val="009C00E0"/>
    <w:rsid w:val="009C195F"/>
    <w:rsid w:val="009F6A33"/>
    <w:rsid w:val="00A01C06"/>
    <w:rsid w:val="00A34E59"/>
    <w:rsid w:val="00A67DA5"/>
    <w:rsid w:val="00A867C4"/>
    <w:rsid w:val="00A959DB"/>
    <w:rsid w:val="00AA6D58"/>
    <w:rsid w:val="00AC038F"/>
    <w:rsid w:val="00AC29BE"/>
    <w:rsid w:val="00AC5BD7"/>
    <w:rsid w:val="00AD6F1B"/>
    <w:rsid w:val="00B02777"/>
    <w:rsid w:val="00B03FD3"/>
    <w:rsid w:val="00B35B4C"/>
    <w:rsid w:val="00B45E9E"/>
    <w:rsid w:val="00B51C9C"/>
    <w:rsid w:val="00B64D4D"/>
    <w:rsid w:val="00BB186A"/>
    <w:rsid w:val="00BB795F"/>
    <w:rsid w:val="00BF7331"/>
    <w:rsid w:val="00C36D3B"/>
    <w:rsid w:val="00C516D8"/>
    <w:rsid w:val="00C55292"/>
    <w:rsid w:val="00C6148C"/>
    <w:rsid w:val="00C75BF1"/>
    <w:rsid w:val="00C75E2C"/>
    <w:rsid w:val="00C86BBA"/>
    <w:rsid w:val="00C9728B"/>
    <w:rsid w:val="00CA0990"/>
    <w:rsid w:val="00CD139B"/>
    <w:rsid w:val="00CE10E1"/>
    <w:rsid w:val="00D00D85"/>
    <w:rsid w:val="00D04BCB"/>
    <w:rsid w:val="00D1121C"/>
    <w:rsid w:val="00D267FD"/>
    <w:rsid w:val="00D356B6"/>
    <w:rsid w:val="00D71C4D"/>
    <w:rsid w:val="00D81E9D"/>
    <w:rsid w:val="00DC408F"/>
    <w:rsid w:val="00DC5428"/>
    <w:rsid w:val="00DF2EB2"/>
    <w:rsid w:val="00DF3A28"/>
    <w:rsid w:val="00E61AB9"/>
    <w:rsid w:val="00EA770A"/>
    <w:rsid w:val="00EB10AE"/>
    <w:rsid w:val="00EC1145"/>
    <w:rsid w:val="00EC3FC4"/>
    <w:rsid w:val="00EC4C76"/>
    <w:rsid w:val="00EC518D"/>
    <w:rsid w:val="00F01154"/>
    <w:rsid w:val="00F3504E"/>
    <w:rsid w:val="00F848CF"/>
    <w:rsid w:val="00FB6B06"/>
    <w:rsid w:val="00FB7367"/>
    <w:rsid w:val="00FC5309"/>
    <w:rsid w:val="00FD76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553B-61F2-4DE5-8DFC-EA3FEF0F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4</cp:revision>
  <cp:lastPrinted>2019-04-25T10:19:00Z</cp:lastPrinted>
  <dcterms:created xsi:type="dcterms:W3CDTF">2019-04-24T13:41:00Z</dcterms:created>
  <dcterms:modified xsi:type="dcterms:W3CDTF">2019-04-25T10:19:00Z</dcterms:modified>
</cp:coreProperties>
</file>