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86B" w:rsidRPr="00CD086B" w:rsidRDefault="00CD086B" w:rsidP="00CD086B">
      <w:pPr>
        <w:keepNext/>
        <w:keepLines/>
        <w:jc w:val="right"/>
        <w:rPr>
          <w:bCs/>
        </w:rPr>
      </w:pPr>
      <w:r w:rsidRPr="00CD086B">
        <w:rPr>
          <w:bCs/>
        </w:rPr>
        <w:t>Jelga</w:t>
      </w:r>
      <w:r w:rsidR="0090340A">
        <w:rPr>
          <w:bCs/>
        </w:rPr>
        <w:t>vā, 2020.gada 28.janvārī (prot.</w:t>
      </w:r>
      <w:r w:rsidRPr="00CD086B">
        <w:rPr>
          <w:bCs/>
        </w:rPr>
        <w:t>Nr.</w:t>
      </w:r>
      <w:r w:rsidR="00B152EB">
        <w:rPr>
          <w:bCs/>
        </w:rPr>
        <w:t>2</w:t>
      </w:r>
      <w:r w:rsidR="0090340A">
        <w:rPr>
          <w:bCs/>
        </w:rPr>
        <w:t>, 5p.</w:t>
      </w:r>
      <w:r w:rsidRPr="00CD086B">
        <w:rPr>
          <w:bCs/>
        </w:rPr>
        <w:t>)</w:t>
      </w:r>
    </w:p>
    <w:p w:rsidR="00CD086B" w:rsidRPr="00CD086B" w:rsidRDefault="00CD086B" w:rsidP="00CD086B">
      <w:pPr>
        <w:keepNext/>
        <w:keepLines/>
        <w:jc w:val="center"/>
        <w:rPr>
          <w:bCs/>
        </w:rPr>
      </w:pPr>
    </w:p>
    <w:p w:rsidR="00144FEC" w:rsidRDefault="00CD086B" w:rsidP="00CD086B">
      <w:pPr>
        <w:keepNext/>
        <w:keepLines/>
        <w:jc w:val="center"/>
        <w:rPr>
          <w:b/>
          <w:bCs/>
          <w:szCs w:val="44"/>
        </w:rPr>
      </w:pPr>
      <w:r w:rsidRPr="00CD086B">
        <w:rPr>
          <w:b/>
          <w:bCs/>
        </w:rPr>
        <w:t xml:space="preserve">JELGAVAS PILSĒTAS PAŠVALDĪBAS </w:t>
      </w:r>
      <w:r w:rsidRPr="00CD086B">
        <w:rPr>
          <w:b/>
          <w:bCs/>
          <w:szCs w:val="44"/>
        </w:rPr>
        <w:t xml:space="preserve">2020.GADA 28.JANVĀRA </w:t>
      </w:r>
    </w:p>
    <w:p w:rsidR="00CD086B" w:rsidRPr="00CD086B" w:rsidRDefault="0090340A" w:rsidP="00144FEC">
      <w:pPr>
        <w:keepNext/>
        <w:keepLines/>
        <w:jc w:val="center"/>
        <w:rPr>
          <w:b/>
          <w:bCs/>
        </w:rPr>
      </w:pPr>
      <w:r>
        <w:rPr>
          <w:b/>
          <w:bCs/>
          <w:szCs w:val="44"/>
        </w:rPr>
        <w:t xml:space="preserve">SAISTOŠIE NOTEIKUMI </w:t>
      </w:r>
      <w:r w:rsidRPr="00F7153E">
        <w:rPr>
          <w:b/>
          <w:bCs/>
          <w:szCs w:val="44"/>
        </w:rPr>
        <w:t>NR.20-3</w:t>
      </w:r>
      <w:r w:rsidR="00CD086B" w:rsidRPr="00CD086B">
        <w:rPr>
          <w:b/>
          <w:bCs/>
          <w:szCs w:val="44"/>
        </w:rPr>
        <w:t xml:space="preserve"> “GROZĪJUMI JELGAVAS PILSĒTAS PAŠVALDĪBAS 2015.GADA 12.NOVEMBRA SAISTOŠAJOS NOTEIKUMOS NR.15-19 “</w:t>
      </w:r>
      <w:r w:rsidR="00CD086B" w:rsidRPr="00CD086B">
        <w:rPr>
          <w:b/>
          <w:bCs/>
        </w:rPr>
        <w:t>SOCIĀLĀS PALĪDZĪBAS PABALSTU UN SOCIĀLO GARANTIJU PIEŠĶIRŠANAS</w:t>
      </w:r>
      <w:r w:rsidR="00144FEC">
        <w:rPr>
          <w:b/>
          <w:bCs/>
        </w:rPr>
        <w:t xml:space="preserve"> </w:t>
      </w:r>
      <w:r w:rsidR="00CD086B" w:rsidRPr="00CD086B">
        <w:rPr>
          <w:b/>
          <w:bCs/>
        </w:rPr>
        <w:t>NOTEIKUMI””</w:t>
      </w:r>
    </w:p>
    <w:p w:rsidR="00CD086B" w:rsidRPr="00CD086B" w:rsidRDefault="00CD086B" w:rsidP="00CD086B">
      <w:pPr>
        <w:keepNext/>
        <w:keepLines/>
        <w:jc w:val="right"/>
        <w:rPr>
          <w:b/>
          <w:bCs/>
        </w:rPr>
      </w:pPr>
    </w:p>
    <w:p w:rsidR="00CD086B" w:rsidRPr="00CD086B" w:rsidRDefault="00CD086B" w:rsidP="00CD086B">
      <w:pPr>
        <w:shd w:val="clear" w:color="auto" w:fill="FFFFFF"/>
        <w:jc w:val="right"/>
        <w:rPr>
          <w:i/>
          <w:iCs/>
        </w:rPr>
      </w:pPr>
      <w:r w:rsidRPr="00CD086B">
        <w:rPr>
          <w:i/>
          <w:iCs/>
        </w:rPr>
        <w:t>Izdoti saskaņā ar </w:t>
      </w:r>
      <w:hyperlink r:id="rId8" w:tgtFrame="_blank" w:history="1">
        <w:r w:rsidRPr="00CD086B">
          <w:rPr>
            <w:i/>
            <w:iCs/>
          </w:rPr>
          <w:t>Sociālo pakalpojumu un</w:t>
        </w:r>
        <w:r w:rsidRPr="00CD086B">
          <w:rPr>
            <w:i/>
            <w:iCs/>
          </w:rPr>
          <w:br/>
          <w:t>sociālās palīdzības likuma</w:t>
        </w:r>
      </w:hyperlink>
      <w:r w:rsidRPr="00CD086B">
        <w:rPr>
          <w:i/>
          <w:iCs/>
        </w:rPr>
        <w:t> </w:t>
      </w:r>
      <w:hyperlink r:id="rId9" w:anchor="p35" w:tgtFrame="_blank" w:history="1">
        <w:r w:rsidRPr="00CD086B">
          <w:rPr>
            <w:i/>
            <w:iCs/>
          </w:rPr>
          <w:t>35.panta</w:t>
        </w:r>
      </w:hyperlink>
      <w:r w:rsidRPr="00CD086B">
        <w:rPr>
          <w:i/>
          <w:iCs/>
        </w:rPr>
        <w:t> piekto daļu,</w:t>
      </w:r>
      <w:r w:rsidRPr="00CD086B">
        <w:rPr>
          <w:i/>
          <w:iCs/>
        </w:rPr>
        <w:br/>
        <w:t>likuma "</w:t>
      </w:r>
      <w:hyperlink r:id="rId10" w:tgtFrame="_blank" w:history="1">
        <w:r w:rsidRPr="00CD086B">
          <w:rPr>
            <w:i/>
            <w:iCs/>
          </w:rPr>
          <w:t>Par palīdzību dzīvokļa jautājumu risināšanā</w:t>
        </w:r>
      </w:hyperlink>
      <w:r w:rsidRPr="00CD086B">
        <w:rPr>
          <w:i/>
          <w:iCs/>
        </w:rPr>
        <w:t>"</w:t>
      </w:r>
      <w:r w:rsidRPr="00CD086B">
        <w:rPr>
          <w:i/>
          <w:iCs/>
        </w:rPr>
        <w:br/>
      </w:r>
      <w:hyperlink r:id="rId11" w:anchor="p25" w:tgtFrame="_blank" w:history="1">
        <w:r w:rsidRPr="00CD086B">
          <w:rPr>
            <w:i/>
            <w:iCs/>
          </w:rPr>
          <w:t>25.pantu</w:t>
        </w:r>
      </w:hyperlink>
      <w:r w:rsidRPr="00CD086B">
        <w:rPr>
          <w:i/>
          <w:iCs/>
        </w:rPr>
        <w:t>, </w:t>
      </w:r>
      <w:hyperlink r:id="rId12" w:anchor="p25.2" w:tgtFrame="_blank" w:history="1">
        <w:r w:rsidRPr="00CD086B">
          <w:rPr>
            <w:i/>
            <w:iCs/>
          </w:rPr>
          <w:t>25.</w:t>
        </w:r>
        <w:r w:rsidRPr="00CD086B">
          <w:rPr>
            <w:i/>
            <w:iCs/>
            <w:vertAlign w:val="superscript"/>
          </w:rPr>
          <w:t>2</w:t>
        </w:r>
        <w:r w:rsidRPr="00CD086B">
          <w:rPr>
            <w:i/>
            <w:iCs/>
          </w:rPr>
          <w:t> panta</w:t>
        </w:r>
      </w:hyperlink>
      <w:r w:rsidRPr="00CD086B">
        <w:rPr>
          <w:i/>
          <w:iCs/>
        </w:rPr>
        <w:t> pirmo un piekto daļu, Ministr</w:t>
      </w:r>
      <w:r w:rsidR="00D10182">
        <w:rPr>
          <w:i/>
          <w:iCs/>
        </w:rPr>
        <w:t>u</w:t>
      </w:r>
      <w:r w:rsidRPr="00CD086B">
        <w:rPr>
          <w:i/>
          <w:iCs/>
        </w:rPr>
        <w:t xml:space="preserve"> kabineta</w:t>
      </w:r>
      <w:r w:rsidRPr="00CD086B">
        <w:rPr>
          <w:i/>
          <w:iCs/>
        </w:rPr>
        <w:br/>
      </w:r>
      <w:bookmarkStart w:id="0" w:name="_GoBack"/>
      <w:bookmarkEnd w:id="0"/>
      <w:r w:rsidRPr="00CD086B">
        <w:rPr>
          <w:i/>
          <w:iCs/>
        </w:rPr>
        <w:t>2005.gada 15.novembra noteikumu Nr.857 "</w:t>
      </w:r>
      <w:hyperlink r:id="rId13" w:tgtFrame="_blank" w:history="1">
        <w:r w:rsidRPr="00CD086B">
          <w:rPr>
            <w:i/>
            <w:iCs/>
          </w:rPr>
          <w:t>Noteikumi</w:t>
        </w:r>
        <w:r w:rsidRPr="00CD086B">
          <w:rPr>
            <w:i/>
            <w:iCs/>
          </w:rPr>
          <w:br/>
          <w:t>par sociālajām garantijām bārenim un bez vecāku gādības</w:t>
        </w:r>
        <w:r w:rsidRPr="00CD086B">
          <w:rPr>
            <w:i/>
            <w:iCs/>
          </w:rPr>
          <w:br/>
          <w:t>palikušajam bērnam, kurš ir ārpusģimenes aprūpē, kā arī</w:t>
        </w:r>
        <w:r w:rsidRPr="00CD086B">
          <w:rPr>
            <w:i/>
            <w:iCs/>
          </w:rPr>
          <w:br/>
          <w:t>pēc ārpusģimenes aprūpes beigšanās</w:t>
        </w:r>
      </w:hyperlink>
      <w:r w:rsidRPr="00CD086B">
        <w:rPr>
          <w:i/>
          <w:iCs/>
        </w:rPr>
        <w:t>" </w:t>
      </w:r>
      <w:hyperlink r:id="rId14" w:anchor="p27" w:tgtFrame="_blank" w:history="1">
        <w:r w:rsidRPr="00CD086B">
          <w:rPr>
            <w:i/>
            <w:iCs/>
          </w:rPr>
          <w:t>27.</w:t>
        </w:r>
      </w:hyperlink>
      <w:r w:rsidRPr="00CD086B">
        <w:rPr>
          <w:i/>
          <w:iCs/>
        </w:rPr>
        <w:t>, </w:t>
      </w:r>
      <w:hyperlink r:id="rId15" w:anchor="p30" w:tgtFrame="_blank" w:history="1">
        <w:r w:rsidRPr="00CD086B">
          <w:rPr>
            <w:i/>
            <w:iCs/>
          </w:rPr>
          <w:t>30. </w:t>
        </w:r>
      </w:hyperlink>
      <w:r w:rsidRPr="00CD086B">
        <w:rPr>
          <w:i/>
          <w:iCs/>
        </w:rPr>
        <w:t>un </w:t>
      </w:r>
      <w:hyperlink r:id="rId16" w:anchor="p31" w:tgtFrame="_blank" w:history="1">
        <w:r w:rsidRPr="00CD086B">
          <w:rPr>
            <w:i/>
            <w:iCs/>
          </w:rPr>
          <w:t>31.punktu</w:t>
        </w:r>
      </w:hyperlink>
    </w:p>
    <w:p w:rsidR="00CD086B" w:rsidRPr="00CD086B" w:rsidRDefault="00CD086B" w:rsidP="00CD086B">
      <w:pPr>
        <w:rPr>
          <w:b/>
          <w:bCs/>
        </w:rPr>
      </w:pPr>
    </w:p>
    <w:p w:rsidR="00CD086B" w:rsidRPr="00CD086B" w:rsidRDefault="00CD086B" w:rsidP="00CD086B">
      <w:pPr>
        <w:keepNext/>
        <w:keepLines/>
        <w:numPr>
          <w:ilvl w:val="0"/>
          <w:numId w:val="1"/>
        </w:numPr>
        <w:spacing w:before="120" w:after="120"/>
        <w:jc w:val="both"/>
        <w:outlineLvl w:val="0"/>
        <w:rPr>
          <w:lang w:eastAsia="en-US"/>
        </w:rPr>
      </w:pPr>
      <w:r w:rsidRPr="00CD086B">
        <w:rPr>
          <w:bCs/>
          <w:lang w:eastAsia="en-US"/>
        </w:rPr>
        <w:t>Izdarīt Jelgavas pilsētas pašvaldības 2015.gada 12.novembra saistošajos noteikumos Nr.15-19 “Sociālās palīdzības pabalstu un sociālo garantiju piešķiršanas noteikumi” (Latvijas Vēstnesis, 2015, 234. nr.; 2016, 41. nr.; 2017, 55. nr.; 2018, 11. nr.; 2019, 110., 258. nr.) šādus grozījumus</w:t>
      </w:r>
      <w:bookmarkStart w:id="1" w:name="_Hlk23954647"/>
      <w:r w:rsidRPr="00CD086B">
        <w:rPr>
          <w:b/>
          <w:shd w:val="clear" w:color="auto" w:fill="FFFFFF"/>
          <w:lang w:eastAsia="en-US"/>
        </w:rPr>
        <w:t>:</w:t>
      </w:r>
      <w:bookmarkEnd w:id="1"/>
      <w:r w:rsidRPr="00CD086B">
        <w:rPr>
          <w:b/>
          <w:lang w:eastAsia="en-US"/>
        </w:rPr>
        <w:t xml:space="preserve"> </w:t>
      </w:r>
    </w:p>
    <w:p w:rsidR="00CD086B" w:rsidRPr="00CD086B" w:rsidRDefault="00CD086B" w:rsidP="00AF79B2">
      <w:pPr>
        <w:pStyle w:val="Heading1"/>
        <w:rPr>
          <w:shd w:val="clear" w:color="auto" w:fill="FFFFFF"/>
        </w:rPr>
      </w:pPr>
      <w:r w:rsidRPr="00CD086B">
        <w:t xml:space="preserve">Izteikt </w:t>
      </w:r>
      <w:r w:rsidRPr="00CD086B">
        <w:rPr>
          <w:shd w:val="clear" w:color="auto" w:fill="FFFFFF"/>
        </w:rPr>
        <w:t>15.punktu šādā redakcijā:</w:t>
      </w:r>
    </w:p>
    <w:p w:rsidR="00CD086B" w:rsidRPr="00CD086B" w:rsidRDefault="00CD086B" w:rsidP="00CD086B">
      <w:pPr>
        <w:keepNext/>
        <w:keepLines/>
        <w:spacing w:before="120" w:after="120"/>
        <w:ind w:left="1293"/>
        <w:jc w:val="both"/>
        <w:outlineLvl w:val="0"/>
        <w:rPr>
          <w:bCs/>
          <w:shd w:val="clear" w:color="auto" w:fill="FFFFFF"/>
          <w:lang w:eastAsia="en-US"/>
        </w:rPr>
      </w:pPr>
      <w:r w:rsidRPr="00CD086B">
        <w:rPr>
          <w:bCs/>
          <w:shd w:val="clear" w:color="auto" w:fill="FFFFFF"/>
          <w:lang w:eastAsia="en-US"/>
        </w:rPr>
        <w:t>“15. Darbspējīgu personu, kura saņem sociālo palīdzību vismaz trīs mēnešus pēdējo 12 mēnešu periodā, izņemot </w:t>
      </w:r>
      <w:hyperlink r:id="rId17" w:tgtFrame="_blank" w:history="1">
        <w:r w:rsidRPr="00CD086B">
          <w:rPr>
            <w:bCs/>
            <w:shd w:val="clear" w:color="auto" w:fill="FFFFFF"/>
            <w:lang w:eastAsia="en-US"/>
          </w:rPr>
          <w:t>Sociālo pakalpojumu un sociālās palīdzības likuma</w:t>
        </w:r>
      </w:hyperlink>
      <w:r w:rsidRPr="00CD086B">
        <w:rPr>
          <w:bCs/>
          <w:shd w:val="clear" w:color="auto" w:fill="FFFFFF"/>
          <w:lang w:eastAsia="en-US"/>
        </w:rPr>
        <w:t> </w:t>
      </w:r>
      <w:hyperlink r:id="rId18" w:anchor="p37" w:tgtFrame="_blank" w:history="1">
        <w:r w:rsidRPr="00CD086B">
          <w:rPr>
            <w:bCs/>
            <w:shd w:val="clear" w:color="auto" w:fill="FFFFFF"/>
            <w:lang w:eastAsia="en-US"/>
          </w:rPr>
          <w:t>37.panta</w:t>
        </w:r>
      </w:hyperlink>
      <w:r w:rsidRPr="00CD086B">
        <w:rPr>
          <w:bCs/>
          <w:shd w:val="clear" w:color="auto" w:fill="FFFFFF"/>
          <w:lang w:eastAsia="en-US"/>
        </w:rPr>
        <w:t> pirmajā daļā minētās personas, saskaņā ar Latvijas Republikas normatīvajiem aktiem, var iesaistīt darba un sociālo prasmju saglabāšanas, atjaunošanas un apgūšanas pasākumos līdz piecpadsmit stundām nedēļā, sadalot tās pa vairākām nedēļas dienām.”</w:t>
      </w:r>
      <w:r w:rsidR="00D81F7B">
        <w:rPr>
          <w:bCs/>
          <w:shd w:val="clear" w:color="auto" w:fill="FFFFFF"/>
          <w:lang w:eastAsia="en-US"/>
        </w:rPr>
        <w:t>.</w:t>
      </w:r>
    </w:p>
    <w:p w:rsidR="00CD086B" w:rsidRPr="00CD086B" w:rsidRDefault="00CD086B" w:rsidP="00AF79B2">
      <w:pPr>
        <w:pStyle w:val="Heading1"/>
      </w:pPr>
      <w:r w:rsidRPr="00CD086B">
        <w:t>Izteikt</w:t>
      </w:r>
      <w:r w:rsidR="003F08E1">
        <w:t xml:space="preserve"> </w:t>
      </w:r>
      <w:r w:rsidRPr="00AF79B2">
        <w:rPr>
          <w:shd w:val="clear" w:color="auto" w:fill="FFFFFF"/>
        </w:rPr>
        <w:t>30.punktu šādā redakcijā:</w:t>
      </w:r>
    </w:p>
    <w:p w:rsidR="00CD086B" w:rsidRDefault="00CD086B" w:rsidP="00CD086B">
      <w:pPr>
        <w:keepNext/>
        <w:keepLines/>
        <w:spacing w:before="120" w:after="120"/>
        <w:ind w:left="1293"/>
        <w:jc w:val="both"/>
        <w:outlineLvl w:val="0"/>
        <w:rPr>
          <w:bCs/>
          <w:lang w:eastAsia="en-US"/>
        </w:rPr>
      </w:pPr>
      <w:r w:rsidRPr="00CD086B">
        <w:rPr>
          <w:b/>
          <w:shd w:val="clear" w:color="auto" w:fill="FFFFFF"/>
          <w:lang w:eastAsia="en-US"/>
        </w:rPr>
        <w:t>“</w:t>
      </w:r>
      <w:r w:rsidRPr="00CD086B">
        <w:rPr>
          <w:lang w:eastAsia="en-US"/>
        </w:rPr>
        <w:t xml:space="preserve">30. 24.4.apakšpunktā minēto pabalstu vienu reizi kalendārajā gadā piešķir </w:t>
      </w:r>
      <w:r w:rsidRPr="00CD086B">
        <w:rPr>
          <w:bCs/>
          <w:lang w:eastAsia="en-US"/>
        </w:rPr>
        <w:t>trūcīgai vai maznodrošinātai ģimenei (personai)</w:t>
      </w:r>
      <w:r w:rsidRPr="00CD086B">
        <w:rPr>
          <w:lang w:eastAsia="en-US"/>
        </w:rPr>
        <w:t xml:space="preserve"> 210,00 </w:t>
      </w:r>
      <w:proofErr w:type="spellStart"/>
      <w:r w:rsidRPr="00CD086B">
        <w:rPr>
          <w:i/>
          <w:iCs/>
          <w:lang w:eastAsia="en-US"/>
        </w:rPr>
        <w:t>euro</w:t>
      </w:r>
      <w:proofErr w:type="spellEnd"/>
      <w:r w:rsidRPr="00CD086B">
        <w:rPr>
          <w:bCs/>
          <w:lang w:eastAsia="en-US"/>
        </w:rPr>
        <w:t> apmērā.”.</w:t>
      </w:r>
    </w:p>
    <w:p w:rsidR="00F42F3F" w:rsidRDefault="00F42F3F" w:rsidP="00F42F3F">
      <w:pPr>
        <w:pStyle w:val="Heading1"/>
      </w:pPr>
      <w:r>
        <w:t>Papildināt ar 60.punktu šādā redakcijā:</w:t>
      </w:r>
    </w:p>
    <w:p w:rsidR="00CD086B" w:rsidRPr="00CD086B" w:rsidRDefault="00F42F3F" w:rsidP="00740BCC">
      <w:pPr>
        <w:keepNext/>
        <w:keepLines/>
        <w:spacing w:before="120" w:after="120"/>
        <w:ind w:left="1293"/>
        <w:jc w:val="both"/>
        <w:outlineLvl w:val="0"/>
        <w:rPr>
          <w:bCs/>
          <w:lang w:eastAsia="en-US"/>
        </w:rPr>
      </w:pPr>
      <w:r>
        <w:rPr>
          <w:lang w:eastAsia="en-US"/>
        </w:rPr>
        <w:t xml:space="preserve">“60. </w:t>
      </w:r>
      <w:r w:rsidR="00CD086B" w:rsidRPr="00CD086B">
        <w:rPr>
          <w:bCs/>
          <w:lang w:eastAsia="en-US"/>
        </w:rPr>
        <w:t>Ģimenēm (personām), kuras ir saņēmušas</w:t>
      </w:r>
      <w:r>
        <w:rPr>
          <w:bCs/>
          <w:lang w:eastAsia="en-US"/>
        </w:rPr>
        <w:t xml:space="preserve"> </w:t>
      </w:r>
      <w:r w:rsidRPr="00F42F3F">
        <w:rPr>
          <w:bCs/>
          <w:lang w:eastAsia="en-US"/>
        </w:rPr>
        <w:t>24.4.apakšpunktā minēto pabalstu</w:t>
      </w:r>
      <w:r w:rsidR="00CD086B" w:rsidRPr="00CD086B">
        <w:rPr>
          <w:bCs/>
          <w:lang w:eastAsia="en-US"/>
        </w:rPr>
        <w:t xml:space="preserve"> līdz </w:t>
      </w:r>
      <w:r w:rsidR="007B6446">
        <w:rPr>
          <w:bCs/>
          <w:lang w:eastAsia="en-US"/>
        </w:rPr>
        <w:t>brīdim, kad stājās spēkā grozījumi</w:t>
      </w:r>
      <w:r w:rsidR="00CD086B" w:rsidRPr="00CD086B">
        <w:rPr>
          <w:bCs/>
          <w:lang w:eastAsia="en-US"/>
        </w:rPr>
        <w:t xml:space="preserve"> </w:t>
      </w:r>
      <w:r>
        <w:rPr>
          <w:bCs/>
          <w:lang w:eastAsia="en-US"/>
        </w:rPr>
        <w:t>noteikumu 30.punktā</w:t>
      </w:r>
      <w:r w:rsidR="00CD086B" w:rsidRPr="00CD086B">
        <w:rPr>
          <w:bCs/>
          <w:lang w:eastAsia="en-US"/>
        </w:rPr>
        <w:t>, ir tiesības vērsties ar iesniegumu JSLP, lai saņemtu 2020.gadā pabalsta summas starpību, kas izveidojusies pēc minētā pabalsta apmēra palielināšanas.</w:t>
      </w:r>
      <w:r>
        <w:rPr>
          <w:bCs/>
          <w:lang w:eastAsia="en-US"/>
        </w:rPr>
        <w:t>”</w:t>
      </w:r>
      <w:r w:rsidR="00D81F7B">
        <w:rPr>
          <w:bCs/>
          <w:lang w:eastAsia="en-US"/>
        </w:rPr>
        <w:t>.</w:t>
      </w:r>
    </w:p>
    <w:p w:rsidR="00CD086B" w:rsidRPr="00CD086B" w:rsidRDefault="00CD086B" w:rsidP="00CD086B"/>
    <w:p w:rsidR="00CD086B" w:rsidRPr="00CD086B" w:rsidRDefault="00CD086B" w:rsidP="00CD086B"/>
    <w:p w:rsidR="00D3108D" w:rsidRDefault="00CD086B">
      <w:r w:rsidRPr="00CD086B">
        <w:t>Jelgavas pilsēta</w:t>
      </w:r>
      <w:r w:rsidR="00144FEC">
        <w:t xml:space="preserve">s domes priekšsēdētājs </w:t>
      </w:r>
      <w:r w:rsidR="00144FEC">
        <w:tab/>
      </w:r>
      <w:r w:rsidR="00144FEC">
        <w:tab/>
      </w:r>
      <w:r w:rsidR="00144FEC">
        <w:tab/>
      </w:r>
      <w:r w:rsidR="00144FEC">
        <w:tab/>
      </w:r>
      <w:r w:rsidR="00144FEC">
        <w:tab/>
      </w:r>
      <w:r w:rsidR="00144FEC">
        <w:tab/>
      </w:r>
      <w:r w:rsidRPr="00CD086B">
        <w:t>A.Rāviņš</w:t>
      </w:r>
    </w:p>
    <w:sectPr w:rsidR="00D3108D" w:rsidSect="00144FEC">
      <w:headerReference w:type="first" r:id="rId1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7BD" w:rsidRDefault="00DE07BD">
      <w:r>
        <w:separator/>
      </w:r>
    </w:p>
  </w:endnote>
  <w:endnote w:type="continuationSeparator" w:id="0">
    <w:p w:rsidR="00DE07BD" w:rsidRDefault="00DE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7BD" w:rsidRDefault="00DE07BD">
      <w:r>
        <w:separator/>
      </w:r>
    </w:p>
  </w:footnote>
  <w:footnote w:type="continuationSeparator" w:id="0">
    <w:p w:rsidR="00DE07BD" w:rsidRDefault="00DE0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50A" w:rsidRPr="00AE0FFD" w:rsidRDefault="00DE4DCE" w:rsidP="005F450A">
    <w:pPr>
      <w:pStyle w:val="Header"/>
      <w:pBdr>
        <w:top w:val="single" w:sz="6" w:space="1" w:color="auto"/>
      </w:pBdr>
      <w:ind w:firstLine="1440"/>
      <w:rPr>
        <w:rFonts w:ascii="Arial" w:hAnsi="Arial"/>
        <w:b/>
        <w:sz w:val="26"/>
        <w:szCs w:val="26"/>
      </w:rPr>
    </w:pPr>
    <w:r w:rsidRPr="00AE0FFD">
      <w:rPr>
        <w:noProof/>
        <w:sz w:val="26"/>
        <w:szCs w:val="26"/>
      </w:rPr>
      <mc:AlternateContent>
        <mc:Choice Requires="wps">
          <w:drawing>
            <wp:anchor distT="0" distB="0" distL="114300" distR="114300" simplePos="0" relativeHeight="251657728" behindDoc="0" locked="0" layoutInCell="1" allowOverlap="1" wp14:anchorId="1AD94E8F" wp14:editId="1DA78404">
              <wp:simplePos x="0" y="0"/>
              <wp:positionH relativeFrom="column">
                <wp:posOffset>-76200</wp:posOffset>
              </wp:positionH>
              <wp:positionV relativeFrom="paragraph">
                <wp:posOffset>107315</wp:posOffset>
              </wp:positionV>
              <wp:extent cx="903605" cy="960755"/>
              <wp:effectExtent l="0" t="2540" r="127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960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450A" w:rsidRDefault="00DE4DCE" w:rsidP="005F450A">
                          <w:pPr>
                            <w:pStyle w:val="Header"/>
                            <w:rPr>
                              <w:rFonts w:ascii="Arial" w:hAnsi="Arial"/>
                              <w:b/>
                              <w:sz w:val="28"/>
                            </w:rPr>
                          </w:pPr>
                          <w:r>
                            <w:rPr>
                              <w:rFonts w:ascii="Arial" w:hAnsi="Arial"/>
                              <w:b/>
                              <w:noProof/>
                              <w:sz w:val="28"/>
                            </w:rPr>
                            <w:drawing>
                              <wp:inline distT="0" distB="0" distL="0" distR="0" wp14:anchorId="7C8CC6AE" wp14:editId="3FAF0C81">
                                <wp:extent cx="723900" cy="866775"/>
                                <wp:effectExtent l="0" t="0" r="0" b="0"/>
                                <wp:docPr id="2" name="Attēls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pt;margin-top:8.45pt;width:71.15pt;height:7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6TggIAAA4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" stroked="f">
              <v:textbox>
                <w:txbxContent>
                  <w:p w:rsidR="005F450A" w:rsidRDefault="00DE4DCE" w:rsidP="005F450A">
                    <w:pPr>
                      <w:pStyle w:val="Header"/>
                      <w:rPr>
                        <w:rFonts w:ascii="Arial" w:hAnsi="Arial"/>
                        <w:b/>
                        <w:sz w:val="28"/>
                      </w:rPr>
                    </w:pPr>
                    <w:r>
                      <w:rPr>
                        <w:rFonts w:ascii="Arial" w:hAnsi="Arial"/>
                        <w:b/>
                        <w:noProof/>
                        <w:sz w:val="28"/>
                      </w:rPr>
                      <w:drawing>
                        <wp:inline distT="0" distB="0" distL="0" distR="0" wp14:anchorId="7C8CC6AE" wp14:editId="3FAF0C81">
                          <wp:extent cx="723900" cy="866775"/>
                          <wp:effectExtent l="0" t="0" r="0" b="0"/>
                          <wp:docPr id="2" name="Attēls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xbxContent>
              </v:textbox>
              <w10:wrap type="square"/>
            </v:shape>
          </w:pict>
        </mc:Fallback>
      </mc:AlternateContent>
    </w:r>
    <w:r w:rsidR="005F450A" w:rsidRPr="00AE0FFD">
      <w:rPr>
        <w:rFonts w:ascii="Arial" w:hAnsi="Arial"/>
        <w:b/>
        <w:sz w:val="26"/>
        <w:szCs w:val="26"/>
      </w:rPr>
      <w:t>Latvijas Republika</w:t>
    </w:r>
  </w:p>
  <w:p w:rsidR="005F450A" w:rsidRPr="00AE0FFD" w:rsidRDefault="005F450A" w:rsidP="005F450A">
    <w:pPr>
      <w:pStyle w:val="Header"/>
      <w:ind w:left="1320" w:right="-716"/>
      <w:rPr>
        <w:rFonts w:ascii="Arial" w:hAnsi="Arial"/>
        <w:b/>
        <w:sz w:val="64"/>
        <w:szCs w:val="64"/>
      </w:rPr>
    </w:pPr>
    <w:r w:rsidRPr="00AE0FFD">
      <w:rPr>
        <w:rFonts w:ascii="Arial" w:hAnsi="Arial"/>
        <w:b/>
        <w:sz w:val="64"/>
        <w:szCs w:val="64"/>
      </w:rPr>
      <w:t xml:space="preserve">Jelgavas </w:t>
    </w:r>
    <w:r w:rsidR="00234525" w:rsidRPr="00AE0FFD">
      <w:rPr>
        <w:rFonts w:ascii="Arial" w:hAnsi="Arial"/>
        <w:b/>
        <w:sz w:val="64"/>
        <w:szCs w:val="64"/>
      </w:rPr>
      <w:t xml:space="preserve">pilsētas </w:t>
    </w:r>
    <w:r w:rsidRPr="00AE0FFD">
      <w:rPr>
        <w:rFonts w:ascii="Arial" w:hAnsi="Arial"/>
        <w:b/>
        <w:sz w:val="64"/>
        <w:szCs w:val="64"/>
      </w:rPr>
      <w:t>dome</w:t>
    </w:r>
  </w:p>
  <w:p w:rsidR="005F450A" w:rsidRDefault="005F450A" w:rsidP="005F450A">
    <w:pPr>
      <w:pStyle w:val="Header"/>
      <w:tabs>
        <w:tab w:val="left" w:pos="1440"/>
      </w:tabs>
      <w:ind w:left="1440"/>
      <w:jc w:val="center"/>
      <w:rPr>
        <w:rFonts w:ascii="Arial" w:hAnsi="Arial"/>
        <w:sz w:val="10"/>
      </w:rPr>
    </w:pPr>
  </w:p>
  <w:p w:rsidR="005F450A" w:rsidRPr="00483639" w:rsidRDefault="00AB7C67" w:rsidP="005F450A">
    <w:pPr>
      <w:pStyle w:val="Header"/>
      <w:tabs>
        <w:tab w:val="left" w:pos="1440"/>
      </w:tabs>
      <w:ind w:left="1440"/>
      <w:rPr>
        <w:rFonts w:ascii="Arial" w:hAnsi="Arial"/>
        <w:sz w:val="17"/>
        <w:szCs w:val="17"/>
      </w:rPr>
    </w:pPr>
    <w:r w:rsidRPr="00483639">
      <w:rPr>
        <w:rFonts w:ascii="Arial" w:hAnsi="Arial"/>
        <w:sz w:val="17"/>
        <w:szCs w:val="17"/>
      </w:rPr>
      <w:t xml:space="preserve">Reģ.Nr.90000042516, </w:t>
    </w:r>
    <w:r w:rsidR="002C07FD" w:rsidRPr="00483639">
      <w:rPr>
        <w:rFonts w:ascii="Arial" w:hAnsi="Arial"/>
        <w:sz w:val="17"/>
        <w:szCs w:val="17"/>
      </w:rPr>
      <w:t>Lielā iela 11, Jelgava, LV-</w:t>
    </w:r>
    <w:r w:rsidR="005F450A" w:rsidRPr="00483639">
      <w:rPr>
        <w:rFonts w:ascii="Arial" w:hAnsi="Arial"/>
        <w:sz w:val="17"/>
        <w:szCs w:val="17"/>
      </w:rPr>
      <w:t>3001, Latvija</w:t>
    </w:r>
  </w:p>
  <w:p w:rsidR="005F450A" w:rsidRPr="00483639" w:rsidRDefault="005F450A" w:rsidP="005F450A">
    <w:pPr>
      <w:pStyle w:val="Header"/>
      <w:tabs>
        <w:tab w:val="left" w:pos="1440"/>
      </w:tabs>
      <w:ind w:left="1440"/>
      <w:rPr>
        <w:rFonts w:ascii="Arial" w:hAnsi="Arial"/>
        <w:sz w:val="17"/>
        <w:szCs w:val="17"/>
      </w:rPr>
    </w:pPr>
    <w:r w:rsidRPr="00483639">
      <w:rPr>
        <w:rFonts w:ascii="Arial" w:hAnsi="Arial"/>
        <w:sz w:val="17"/>
        <w:szCs w:val="17"/>
      </w:rPr>
      <w:t>tālr</w:t>
    </w:r>
    <w:r w:rsidR="002C07FD" w:rsidRPr="00483639">
      <w:rPr>
        <w:rFonts w:ascii="Arial" w:hAnsi="Arial"/>
        <w:sz w:val="17"/>
        <w:szCs w:val="17"/>
      </w:rPr>
      <w:t>unis</w:t>
    </w:r>
    <w:r w:rsidRPr="00483639">
      <w:rPr>
        <w:rFonts w:ascii="Arial" w:hAnsi="Arial"/>
        <w:sz w:val="17"/>
        <w:szCs w:val="17"/>
      </w:rPr>
      <w:t xml:space="preserve">: </w:t>
    </w:r>
    <w:r w:rsidR="00B7291C" w:rsidRPr="00483639">
      <w:rPr>
        <w:rFonts w:ascii="Arial" w:hAnsi="Arial"/>
        <w:sz w:val="17"/>
        <w:szCs w:val="17"/>
      </w:rPr>
      <w:t>6</w:t>
    </w:r>
    <w:r w:rsidRPr="00483639">
      <w:rPr>
        <w:rFonts w:ascii="Arial" w:hAnsi="Arial"/>
        <w:sz w:val="17"/>
        <w:szCs w:val="17"/>
      </w:rPr>
      <w:t>30</w:t>
    </w:r>
    <w:r w:rsidR="006139B3" w:rsidRPr="00483639">
      <w:rPr>
        <w:rFonts w:ascii="Arial" w:hAnsi="Arial"/>
        <w:sz w:val="17"/>
        <w:szCs w:val="17"/>
      </w:rPr>
      <w:t>055</w:t>
    </w:r>
    <w:r w:rsidRPr="00483639">
      <w:rPr>
        <w:rFonts w:ascii="Arial" w:hAnsi="Arial"/>
        <w:sz w:val="17"/>
        <w:szCs w:val="17"/>
      </w:rPr>
      <w:t xml:space="preserve">31, </w:t>
    </w:r>
    <w:r w:rsidR="00B7291C" w:rsidRPr="00483639">
      <w:rPr>
        <w:rFonts w:ascii="Arial" w:hAnsi="Arial"/>
        <w:sz w:val="17"/>
        <w:szCs w:val="17"/>
      </w:rPr>
      <w:t>6</w:t>
    </w:r>
    <w:r w:rsidRPr="00483639">
      <w:rPr>
        <w:rFonts w:ascii="Arial" w:hAnsi="Arial"/>
        <w:sz w:val="17"/>
        <w:szCs w:val="17"/>
      </w:rPr>
      <w:t>3005538, e-</w:t>
    </w:r>
    <w:r w:rsidR="00AE0FFD" w:rsidRPr="00483639">
      <w:rPr>
        <w:rFonts w:ascii="Arial" w:hAnsi="Arial"/>
        <w:sz w:val="17"/>
        <w:szCs w:val="17"/>
      </w:rPr>
      <w:t>pasts</w:t>
    </w:r>
    <w:r w:rsidRPr="00483639">
      <w:rPr>
        <w:rFonts w:ascii="Arial" w:hAnsi="Arial"/>
        <w:sz w:val="17"/>
        <w:szCs w:val="17"/>
      </w:rPr>
      <w:t>:</w:t>
    </w:r>
    <w:r w:rsidR="00AE0FFD" w:rsidRPr="00483639">
      <w:rPr>
        <w:rFonts w:ascii="Arial" w:hAnsi="Arial"/>
        <w:sz w:val="17"/>
        <w:szCs w:val="17"/>
      </w:rPr>
      <w:t xml:space="preserve"> </w:t>
    </w:r>
    <w:r w:rsidR="00AB7C67" w:rsidRPr="00483639">
      <w:rPr>
        <w:rFonts w:ascii="Arial" w:hAnsi="Arial"/>
        <w:sz w:val="17"/>
        <w:szCs w:val="17"/>
      </w:rPr>
      <w:t>dome@dome.jelgava.lv</w:t>
    </w:r>
  </w:p>
  <w:p w:rsidR="002C07FD" w:rsidRPr="00AB7C67" w:rsidRDefault="002C07FD" w:rsidP="005F450A">
    <w:pPr>
      <w:pStyle w:val="Header"/>
      <w:tabs>
        <w:tab w:val="left" w:pos="1440"/>
      </w:tabs>
      <w:ind w:left="1440"/>
      <w:rPr>
        <w:rFonts w:ascii="Arial" w:hAnsi="Arial"/>
        <w:sz w:val="10"/>
        <w:szCs w:val="10"/>
      </w:rPr>
    </w:pPr>
  </w:p>
  <w:p w:rsidR="005F450A" w:rsidRDefault="005F450A" w:rsidP="005F450A">
    <w:pPr>
      <w:pStyle w:val="Header"/>
      <w:pBdr>
        <w:top w:val="single" w:sz="6" w:space="1" w:color="auto"/>
      </w:pBdr>
      <w:rPr>
        <w:rFonts w:ascii="Arial" w:hAnsi="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872BA"/>
    <w:multiLevelType w:val="multilevel"/>
    <w:tmpl w:val="312CEC32"/>
    <w:lvl w:ilvl="0">
      <w:start w:val="1"/>
      <w:numFmt w:val="decimal"/>
      <w:lvlText w:val="%1."/>
      <w:lvlJc w:val="left"/>
      <w:pPr>
        <w:ind w:left="360" w:hanging="360"/>
      </w:pPr>
      <w:rPr>
        <w:rFonts w:hint="default"/>
      </w:rPr>
    </w:lvl>
    <w:lvl w:ilvl="1">
      <w:start w:val="1"/>
      <w:numFmt w:val="decimal"/>
      <w:pStyle w:val="Heading1"/>
      <w:lvlText w:val="%1.%2."/>
      <w:lvlJc w:val="left"/>
      <w:pPr>
        <w:ind w:left="1293"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519" w:hanging="720"/>
      </w:pPr>
      <w:rPr>
        <w:rFonts w:hint="default"/>
      </w:rPr>
    </w:lvl>
    <w:lvl w:ilvl="4">
      <w:start w:val="1"/>
      <w:numFmt w:val="decimal"/>
      <w:lvlText w:val="%1.%2.%3.%4.%5."/>
      <w:lvlJc w:val="left"/>
      <w:pPr>
        <w:ind w:left="4812" w:hanging="1080"/>
      </w:pPr>
      <w:rPr>
        <w:rFonts w:hint="default"/>
      </w:rPr>
    </w:lvl>
    <w:lvl w:ilvl="5">
      <w:start w:val="1"/>
      <w:numFmt w:val="decimal"/>
      <w:lvlText w:val="%1.%2.%3.%4.%5.%6."/>
      <w:lvlJc w:val="left"/>
      <w:pPr>
        <w:ind w:left="5745" w:hanging="1080"/>
      </w:pPr>
      <w:rPr>
        <w:rFonts w:hint="default"/>
      </w:rPr>
    </w:lvl>
    <w:lvl w:ilvl="6">
      <w:start w:val="1"/>
      <w:numFmt w:val="decimal"/>
      <w:lvlText w:val="%1.%2.%3.%4.%5.%6.%7."/>
      <w:lvlJc w:val="left"/>
      <w:pPr>
        <w:ind w:left="7038" w:hanging="1440"/>
      </w:pPr>
      <w:rPr>
        <w:rFonts w:hint="default"/>
      </w:rPr>
    </w:lvl>
    <w:lvl w:ilvl="7">
      <w:start w:val="1"/>
      <w:numFmt w:val="decimal"/>
      <w:lvlText w:val="%1.%2.%3.%4.%5.%6.%7.%8."/>
      <w:lvlJc w:val="left"/>
      <w:pPr>
        <w:ind w:left="7971" w:hanging="1440"/>
      </w:pPr>
      <w:rPr>
        <w:rFonts w:hint="default"/>
      </w:rPr>
    </w:lvl>
    <w:lvl w:ilvl="8">
      <w:start w:val="1"/>
      <w:numFmt w:val="decimal"/>
      <w:lvlText w:val="%1.%2.%3.%4.%5.%6.%7.%8.%9."/>
      <w:lvlJc w:val="left"/>
      <w:pPr>
        <w:ind w:left="92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6E0"/>
    <w:rsid w:val="00021DDE"/>
    <w:rsid w:val="00030783"/>
    <w:rsid w:val="00054B4E"/>
    <w:rsid w:val="000A68F5"/>
    <w:rsid w:val="00144FEC"/>
    <w:rsid w:val="00167F75"/>
    <w:rsid w:val="00182448"/>
    <w:rsid w:val="00194397"/>
    <w:rsid w:val="001A7689"/>
    <w:rsid w:val="0021356B"/>
    <w:rsid w:val="00234525"/>
    <w:rsid w:val="00244096"/>
    <w:rsid w:val="00284121"/>
    <w:rsid w:val="002C07FD"/>
    <w:rsid w:val="002D5E8F"/>
    <w:rsid w:val="0030204E"/>
    <w:rsid w:val="003368AF"/>
    <w:rsid w:val="0039168D"/>
    <w:rsid w:val="003A55B2"/>
    <w:rsid w:val="003B049D"/>
    <w:rsid w:val="003F08E1"/>
    <w:rsid w:val="003F1CDF"/>
    <w:rsid w:val="0043121C"/>
    <w:rsid w:val="00445922"/>
    <w:rsid w:val="00446D72"/>
    <w:rsid w:val="00471506"/>
    <w:rsid w:val="00483639"/>
    <w:rsid w:val="0048665C"/>
    <w:rsid w:val="004B5683"/>
    <w:rsid w:val="005B0C3D"/>
    <w:rsid w:val="005C293A"/>
    <w:rsid w:val="005F450A"/>
    <w:rsid w:val="006139B3"/>
    <w:rsid w:val="00615C22"/>
    <w:rsid w:val="00644AA6"/>
    <w:rsid w:val="00696DB4"/>
    <w:rsid w:val="006A2739"/>
    <w:rsid w:val="006A3EA8"/>
    <w:rsid w:val="006B278A"/>
    <w:rsid w:val="00740BCC"/>
    <w:rsid w:val="00747F74"/>
    <w:rsid w:val="007B6446"/>
    <w:rsid w:val="00860E5E"/>
    <w:rsid w:val="0090340A"/>
    <w:rsid w:val="009269C7"/>
    <w:rsid w:val="009E745E"/>
    <w:rsid w:val="00AB7C67"/>
    <w:rsid w:val="00AC3379"/>
    <w:rsid w:val="00AE0902"/>
    <w:rsid w:val="00AE0FFD"/>
    <w:rsid w:val="00AF79B2"/>
    <w:rsid w:val="00B152EB"/>
    <w:rsid w:val="00B53DBB"/>
    <w:rsid w:val="00B7291C"/>
    <w:rsid w:val="00B908CC"/>
    <w:rsid w:val="00CB262E"/>
    <w:rsid w:val="00CC0365"/>
    <w:rsid w:val="00CD086B"/>
    <w:rsid w:val="00D10182"/>
    <w:rsid w:val="00D3108D"/>
    <w:rsid w:val="00D64B20"/>
    <w:rsid w:val="00D81F7B"/>
    <w:rsid w:val="00DC009C"/>
    <w:rsid w:val="00DE07BD"/>
    <w:rsid w:val="00DE4DCE"/>
    <w:rsid w:val="00E4142C"/>
    <w:rsid w:val="00EA1798"/>
    <w:rsid w:val="00EC06E0"/>
    <w:rsid w:val="00F24A9C"/>
    <w:rsid w:val="00F42F3F"/>
    <w:rsid w:val="00F47D49"/>
    <w:rsid w:val="00F55243"/>
    <w:rsid w:val="00F60AD7"/>
    <w:rsid w:val="00F60B2A"/>
    <w:rsid w:val="00F7153E"/>
    <w:rsid w:val="00F73BF7"/>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autoRedefine/>
    <w:uiPriority w:val="9"/>
    <w:qFormat/>
    <w:rsid w:val="00CD086B"/>
    <w:pPr>
      <w:keepNext/>
      <w:keepLines/>
      <w:numPr>
        <w:ilvl w:val="1"/>
        <w:numId w:val="1"/>
      </w:numPr>
      <w:spacing w:before="120" w:after="120"/>
      <w:outlineLvl w:val="0"/>
    </w:pPr>
    <w:rPr>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style>
  <w:style w:type="character" w:customStyle="1" w:styleId="Heading1Char">
    <w:name w:val="Heading 1 Char"/>
    <w:basedOn w:val="DefaultParagraphFont"/>
    <w:link w:val="Heading1"/>
    <w:uiPriority w:val="9"/>
    <w:rsid w:val="00CD086B"/>
    <w:rPr>
      <w:bCs/>
      <w:sz w:val="24"/>
      <w:szCs w:val="24"/>
      <w:lang w:eastAsia="en-US"/>
    </w:rPr>
  </w:style>
  <w:style w:type="paragraph" w:styleId="BalloonText">
    <w:name w:val="Balloon Text"/>
    <w:basedOn w:val="Normal"/>
    <w:link w:val="BalloonTextChar"/>
    <w:semiHidden/>
    <w:unhideWhenUsed/>
    <w:rsid w:val="00144FEC"/>
    <w:rPr>
      <w:rFonts w:ascii="Tahoma" w:hAnsi="Tahoma" w:cs="Tahoma"/>
      <w:sz w:val="16"/>
      <w:szCs w:val="16"/>
    </w:rPr>
  </w:style>
  <w:style w:type="character" w:customStyle="1" w:styleId="BalloonTextChar">
    <w:name w:val="Balloon Text Char"/>
    <w:basedOn w:val="DefaultParagraphFont"/>
    <w:link w:val="BalloonText"/>
    <w:semiHidden/>
    <w:rsid w:val="00144F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autoRedefine/>
    <w:uiPriority w:val="9"/>
    <w:qFormat/>
    <w:rsid w:val="00CD086B"/>
    <w:pPr>
      <w:keepNext/>
      <w:keepLines/>
      <w:numPr>
        <w:ilvl w:val="1"/>
        <w:numId w:val="1"/>
      </w:numPr>
      <w:spacing w:before="120" w:after="120"/>
      <w:outlineLvl w:val="0"/>
    </w:pPr>
    <w:rPr>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style>
  <w:style w:type="character" w:customStyle="1" w:styleId="Heading1Char">
    <w:name w:val="Heading 1 Char"/>
    <w:basedOn w:val="DefaultParagraphFont"/>
    <w:link w:val="Heading1"/>
    <w:uiPriority w:val="9"/>
    <w:rsid w:val="00CD086B"/>
    <w:rPr>
      <w:bCs/>
      <w:sz w:val="24"/>
      <w:szCs w:val="24"/>
      <w:lang w:eastAsia="en-US"/>
    </w:rPr>
  </w:style>
  <w:style w:type="paragraph" w:styleId="BalloonText">
    <w:name w:val="Balloon Text"/>
    <w:basedOn w:val="Normal"/>
    <w:link w:val="BalloonTextChar"/>
    <w:semiHidden/>
    <w:unhideWhenUsed/>
    <w:rsid w:val="00144FEC"/>
    <w:rPr>
      <w:rFonts w:ascii="Tahoma" w:hAnsi="Tahoma" w:cs="Tahoma"/>
      <w:sz w:val="16"/>
      <w:szCs w:val="16"/>
    </w:rPr>
  </w:style>
  <w:style w:type="character" w:customStyle="1" w:styleId="BalloonTextChar">
    <w:name w:val="Balloon Text Char"/>
    <w:basedOn w:val="DefaultParagraphFont"/>
    <w:link w:val="BalloonText"/>
    <w:semiHidden/>
    <w:rsid w:val="00144F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88-socialo-pakalpojumu-un-socialas-palidzibas-likums" TargetMode="External"/><Relationship Id="rId13" Type="http://schemas.openxmlformats.org/officeDocument/2006/relationships/hyperlink" Target="https://likumi.lv/ta/id/121592-noteikumi-par-socialajam-garantijam-barenim-un-bez-vecaku-gadibas-palikusajam-bernam-kurs-ir-arpusgimenes-aprupe-ka-ari-pec-arp..." TargetMode="External"/><Relationship Id="rId18" Type="http://schemas.openxmlformats.org/officeDocument/2006/relationships/hyperlink" Target="https://likumi.lv/ta/id/68488-socialo-pakalpojumu-un-socialas-palidzibas-likums"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kumi.lv/ta/id/56812-par-palidzibu-dzivokla-jautajumu-risinasana" TargetMode="External"/><Relationship Id="rId17" Type="http://schemas.openxmlformats.org/officeDocument/2006/relationships/hyperlink" Target="https://likumi.lv/ta/id/68488-socialo-pakalpojumu-un-socialas-palidzibas-likums" TargetMode="External"/><Relationship Id="rId2" Type="http://schemas.openxmlformats.org/officeDocument/2006/relationships/styles" Target="styles.xml"/><Relationship Id="rId16" Type="http://schemas.openxmlformats.org/officeDocument/2006/relationships/hyperlink" Target="https://likumi.lv/ta/id/121592-noteikumi-par-socialajam-garantijam-barenim-un-bez-vecaku-gadibas-palikusajam-bernam-kurs-ir-arpusgimenes-aprupe-ka-ari-pec-ar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ikumi.lv/ta/id/56812-par-palidzibu-dzivokla-jautajumu-risinasana" TargetMode="External"/><Relationship Id="rId5" Type="http://schemas.openxmlformats.org/officeDocument/2006/relationships/webSettings" Target="webSettings.xml"/><Relationship Id="rId15" Type="http://schemas.openxmlformats.org/officeDocument/2006/relationships/hyperlink" Target="https://likumi.lv/ta/id/121592-noteikumi-par-socialajam-garantijam-barenim-un-bez-vecaku-gadibas-palikusajam-bernam-kurs-ir-arpusgimenes-aprupe-ka-ari-pec-arp..." TargetMode="External"/><Relationship Id="rId10" Type="http://schemas.openxmlformats.org/officeDocument/2006/relationships/hyperlink" Target="https://likumi.lv/ta/id/56812-par-palidzibu-dzivokla-jautajumu-risinasan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68488-socialo-pakalpojumu-un-socialas-palidzibas-likums" TargetMode="External"/><Relationship Id="rId14" Type="http://schemas.openxmlformats.org/officeDocument/2006/relationships/hyperlink" Target="https://likumi.lv/ta/id/121592-noteikumi-par-socialajam-garantijam-barenim-un-bez-vecaku-gadibas-palikusajam-bernam-kurs-ir-arpusgimenes-aprupe-ka-ari-pec-ar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Nr</vt:lpstr>
    </vt:vector>
  </TitlesOfParts>
  <Company>.</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Jeļena Laškova</dc:creator>
  <cp:lastModifiedBy>Ksenija Simonova</cp:lastModifiedBy>
  <cp:revision>4</cp:revision>
  <cp:lastPrinted>2020-01-19T13:25:00Z</cp:lastPrinted>
  <dcterms:created xsi:type="dcterms:W3CDTF">2020-01-27T15:54:00Z</dcterms:created>
  <dcterms:modified xsi:type="dcterms:W3CDTF">2020-01-28T12:20:00Z</dcterms:modified>
</cp:coreProperties>
</file>