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CE9D9" w14:textId="4FCDF15A" w:rsidR="00152658" w:rsidRPr="00EE267E" w:rsidRDefault="00332083" w:rsidP="00152658">
      <w:pPr>
        <w:jc w:val="right"/>
        <w:rPr>
          <w:b/>
        </w:rPr>
      </w:pPr>
      <w:r w:rsidRPr="00EE267E">
        <w:t>Jelgavā 2020</w:t>
      </w:r>
      <w:r w:rsidR="00152658" w:rsidRPr="00EE267E">
        <w:t xml:space="preserve">.gada </w:t>
      </w:r>
      <w:r w:rsidR="000B48EA">
        <w:t>24</w:t>
      </w:r>
      <w:r w:rsidR="00152658" w:rsidRPr="00EE267E">
        <w:t>.</w:t>
      </w:r>
      <w:r w:rsidR="000D125B">
        <w:t>septembra</w:t>
      </w:r>
      <w:r w:rsidR="00152658" w:rsidRPr="00EE267E">
        <w:t xml:space="preserve"> (prot. Nr.</w:t>
      </w:r>
      <w:r w:rsidR="00385E63">
        <w:t>16, 1p.</w:t>
      </w:r>
      <w:r w:rsidR="00152658" w:rsidRPr="00EE267E">
        <w:t>)</w:t>
      </w:r>
    </w:p>
    <w:p w14:paraId="0F242B16" w14:textId="77777777" w:rsidR="00152658" w:rsidRPr="00EE267E" w:rsidRDefault="00152658" w:rsidP="00152658">
      <w:pPr>
        <w:rPr>
          <w:b/>
        </w:rPr>
      </w:pPr>
    </w:p>
    <w:p w14:paraId="2869B32F" w14:textId="77777777" w:rsidR="000B48EA" w:rsidRDefault="00152658" w:rsidP="000B48EA">
      <w:pPr>
        <w:jc w:val="center"/>
        <w:rPr>
          <w:b/>
        </w:rPr>
      </w:pPr>
      <w:r w:rsidRPr="00EE267E">
        <w:rPr>
          <w:b/>
        </w:rPr>
        <w:t>JE</w:t>
      </w:r>
      <w:r w:rsidR="00332083" w:rsidRPr="00EE267E">
        <w:rPr>
          <w:b/>
        </w:rPr>
        <w:t>LGAVAS PILSĒTAS PAŠVALDĪBAS 2020</w:t>
      </w:r>
      <w:r w:rsidRPr="00EE267E">
        <w:rPr>
          <w:b/>
        </w:rPr>
        <w:t>.GADA</w:t>
      </w:r>
      <w:r w:rsidR="00332083" w:rsidRPr="00EE267E">
        <w:rPr>
          <w:b/>
        </w:rPr>
        <w:t xml:space="preserve"> </w:t>
      </w:r>
      <w:r w:rsidR="0007043F">
        <w:rPr>
          <w:b/>
        </w:rPr>
        <w:t>24</w:t>
      </w:r>
      <w:r w:rsidRPr="00EE267E">
        <w:rPr>
          <w:b/>
        </w:rPr>
        <w:t>.</w:t>
      </w:r>
      <w:r w:rsidR="008111B0">
        <w:rPr>
          <w:b/>
        </w:rPr>
        <w:t>SEPTEMBRA</w:t>
      </w:r>
      <w:r w:rsidRPr="00EE267E">
        <w:rPr>
          <w:b/>
        </w:rPr>
        <w:t xml:space="preserve"> </w:t>
      </w:r>
    </w:p>
    <w:p w14:paraId="077C567E" w14:textId="61B3924F" w:rsidR="00B013C0" w:rsidRPr="000B48EA" w:rsidRDefault="00152658" w:rsidP="000B48EA">
      <w:pPr>
        <w:jc w:val="center"/>
        <w:rPr>
          <w:b/>
        </w:rPr>
      </w:pPr>
      <w:r w:rsidRPr="00EE267E">
        <w:rPr>
          <w:b/>
        </w:rPr>
        <w:t>SAISTOŠIE NOTEIKUMI NR.</w:t>
      </w:r>
      <w:r w:rsidR="00385E63">
        <w:rPr>
          <w:b/>
        </w:rPr>
        <w:t>20-31</w:t>
      </w:r>
      <w:r w:rsidR="000B48EA">
        <w:rPr>
          <w:b/>
        </w:rPr>
        <w:t xml:space="preserve"> </w:t>
      </w:r>
      <w:r w:rsidR="000B48EA">
        <w:rPr>
          <w:rFonts w:eastAsiaTheme="minorHAnsi"/>
          <w:b/>
          <w:bCs/>
          <w:caps/>
          <w:lang w:eastAsia="en-US"/>
        </w:rPr>
        <w:t>“</w:t>
      </w:r>
      <w:r w:rsidR="00FE2DAB" w:rsidRPr="00E82EB2">
        <w:rPr>
          <w:rFonts w:eastAsiaTheme="minorHAnsi"/>
          <w:b/>
          <w:bCs/>
          <w:caps/>
          <w:lang w:eastAsia="en-US"/>
        </w:rPr>
        <w:t xml:space="preserve">PAR </w:t>
      </w:r>
      <w:r w:rsidR="00233743">
        <w:rPr>
          <w:rFonts w:eastAsiaTheme="minorHAnsi"/>
          <w:b/>
          <w:bCs/>
          <w:caps/>
          <w:lang w:eastAsia="en-US"/>
        </w:rPr>
        <w:t xml:space="preserve">AUGSTAS DETALIZĀCIJAS </w:t>
      </w:r>
      <w:r w:rsidR="001C0B80" w:rsidRPr="00E82EB2">
        <w:rPr>
          <w:rFonts w:eastAsiaTheme="minorHAnsi"/>
          <w:b/>
          <w:bCs/>
          <w:caps/>
          <w:lang w:eastAsia="en-US"/>
        </w:rPr>
        <w:t>TOPOGRĀFISKĀS</w:t>
      </w:r>
      <w:r w:rsidR="0047255A" w:rsidRPr="00E82EB2">
        <w:rPr>
          <w:rFonts w:eastAsiaTheme="minorHAnsi"/>
          <w:b/>
          <w:bCs/>
          <w:caps/>
          <w:lang w:eastAsia="en-US"/>
        </w:rPr>
        <w:t xml:space="preserve"> informācijas</w:t>
      </w:r>
      <w:r w:rsidR="0047255A" w:rsidRPr="00B2023F">
        <w:rPr>
          <w:rFonts w:eastAsiaTheme="minorHAnsi"/>
          <w:b/>
          <w:bCs/>
          <w:caps/>
          <w:color w:val="5B9BD5" w:themeColor="accent1"/>
          <w:lang w:eastAsia="en-US"/>
        </w:rPr>
        <w:t xml:space="preserve"> </w:t>
      </w:r>
      <w:r w:rsidR="00233743">
        <w:rPr>
          <w:rFonts w:eastAsiaTheme="minorHAnsi"/>
          <w:b/>
          <w:bCs/>
          <w:caps/>
          <w:lang w:eastAsia="en-US"/>
        </w:rPr>
        <w:t xml:space="preserve">APRITES KĀRTĪBU </w:t>
      </w:r>
      <w:r w:rsidR="0047255A" w:rsidRPr="00EE267E">
        <w:rPr>
          <w:rFonts w:eastAsiaTheme="minorHAnsi"/>
          <w:b/>
          <w:bCs/>
          <w:caps/>
          <w:lang w:eastAsia="en-US"/>
        </w:rPr>
        <w:t>Jelgavas pilsētā</w:t>
      </w:r>
      <w:r w:rsidR="000B48EA">
        <w:rPr>
          <w:rFonts w:eastAsiaTheme="minorHAnsi"/>
          <w:b/>
          <w:bCs/>
          <w:caps/>
          <w:lang w:eastAsia="en-US"/>
        </w:rPr>
        <w:t>”</w:t>
      </w:r>
    </w:p>
    <w:p w14:paraId="480EDB44" w14:textId="77777777" w:rsidR="00152658" w:rsidRPr="007A634E" w:rsidRDefault="00152658" w:rsidP="006D35B2"/>
    <w:p w14:paraId="02654133" w14:textId="050A0BCE" w:rsidR="0041513E" w:rsidRDefault="00152658" w:rsidP="00152658">
      <w:pPr>
        <w:jc w:val="right"/>
        <w:rPr>
          <w:i/>
          <w:iCs/>
        </w:rPr>
      </w:pPr>
      <w:r w:rsidRPr="00EE267E">
        <w:rPr>
          <w:i/>
          <w:iCs/>
        </w:rPr>
        <w:t xml:space="preserve">Izdoti saskaņā ar </w:t>
      </w:r>
      <w:r w:rsidR="00ED252E" w:rsidRPr="00EE267E">
        <w:rPr>
          <w:i/>
          <w:iCs/>
        </w:rPr>
        <w:t>Ģeotelpiskās informācijas likuma</w:t>
      </w:r>
      <w:r w:rsidR="00095343">
        <w:rPr>
          <w:i/>
          <w:iCs/>
        </w:rPr>
        <w:t xml:space="preserve"> </w:t>
      </w:r>
      <w:r w:rsidRPr="00EE267E">
        <w:rPr>
          <w:i/>
          <w:iCs/>
        </w:rPr>
        <w:br/>
      </w:r>
      <w:r w:rsidR="00ED252E" w:rsidRPr="00EE267E">
        <w:rPr>
          <w:i/>
          <w:iCs/>
        </w:rPr>
        <w:t>13. panta sesto daļu, 26. panta trešo daļu</w:t>
      </w:r>
      <w:r w:rsidR="004B707A">
        <w:rPr>
          <w:i/>
          <w:iCs/>
        </w:rPr>
        <w:t xml:space="preserve"> un 7</w:t>
      </w:r>
      <w:r w:rsidR="004B707A" w:rsidRPr="004B707A">
        <w:rPr>
          <w:i/>
          <w:iCs/>
          <w:vertAlign w:val="superscript"/>
        </w:rPr>
        <w:t>1</w:t>
      </w:r>
      <w:r w:rsidR="004B707A">
        <w:rPr>
          <w:i/>
          <w:iCs/>
        </w:rPr>
        <w:t xml:space="preserve"> daļu</w:t>
      </w:r>
      <w:r w:rsidRPr="00EE267E">
        <w:rPr>
          <w:i/>
          <w:iCs/>
        </w:rPr>
        <w:t>,</w:t>
      </w:r>
    </w:p>
    <w:p w14:paraId="0707840A" w14:textId="1E778396" w:rsidR="00E07DA2" w:rsidRDefault="00152658" w:rsidP="00152658">
      <w:pPr>
        <w:jc w:val="right"/>
        <w:rPr>
          <w:i/>
          <w:iCs/>
        </w:rPr>
      </w:pPr>
      <w:r w:rsidRPr="00EE267E">
        <w:rPr>
          <w:i/>
          <w:iCs/>
        </w:rPr>
        <w:t xml:space="preserve"> </w:t>
      </w:r>
      <w:r w:rsidR="00ED252E" w:rsidRPr="00EE267E">
        <w:rPr>
          <w:i/>
          <w:iCs/>
        </w:rPr>
        <w:t xml:space="preserve">Ministru kabineta </w:t>
      </w:r>
      <w:r w:rsidR="00E07DA2" w:rsidRPr="00EE267E">
        <w:rPr>
          <w:i/>
          <w:iCs/>
        </w:rPr>
        <w:t>2012. gada</w:t>
      </w:r>
      <w:r w:rsidR="009776C3" w:rsidRPr="00EE267E">
        <w:rPr>
          <w:i/>
          <w:iCs/>
        </w:rPr>
        <w:t xml:space="preserve"> 24.</w:t>
      </w:r>
      <w:r w:rsidR="002A436B">
        <w:rPr>
          <w:i/>
          <w:iCs/>
        </w:rPr>
        <w:t> </w:t>
      </w:r>
      <w:r w:rsidR="009776C3" w:rsidRPr="00EE267E">
        <w:rPr>
          <w:i/>
          <w:iCs/>
        </w:rPr>
        <w:t>aprīļa</w:t>
      </w:r>
      <w:r w:rsidR="00E07DA2">
        <w:rPr>
          <w:i/>
          <w:iCs/>
        </w:rPr>
        <w:t xml:space="preserve"> </w:t>
      </w:r>
      <w:r w:rsidR="00ED252E" w:rsidRPr="00EE267E">
        <w:rPr>
          <w:i/>
          <w:iCs/>
        </w:rPr>
        <w:t>noteikumu Nr.281</w:t>
      </w:r>
    </w:p>
    <w:p w14:paraId="4F9CEC6D" w14:textId="331C5FCD" w:rsidR="00845283" w:rsidRPr="00EE267E" w:rsidRDefault="00152658" w:rsidP="00152658">
      <w:pPr>
        <w:jc w:val="right"/>
        <w:rPr>
          <w:i/>
          <w:iCs/>
        </w:rPr>
      </w:pPr>
      <w:r w:rsidRPr="00EE267E">
        <w:rPr>
          <w:i/>
          <w:iCs/>
        </w:rPr>
        <w:t>"</w:t>
      </w:r>
      <w:r w:rsidR="00ED252E" w:rsidRPr="00EE267E">
        <w:rPr>
          <w:i/>
          <w:iCs/>
        </w:rPr>
        <w:t xml:space="preserve">Augstas detalizācijas topogrāfiskās informācijas </w:t>
      </w:r>
      <w:r w:rsidR="00ED252E" w:rsidRPr="00EE267E">
        <w:rPr>
          <w:i/>
          <w:iCs/>
        </w:rPr>
        <w:br/>
        <w:t>un tās centrālās datubāzes noteikumi</w:t>
      </w:r>
      <w:r w:rsidRPr="00EE267E">
        <w:rPr>
          <w:i/>
          <w:iCs/>
        </w:rPr>
        <w:t>"</w:t>
      </w:r>
      <w:r w:rsidR="00620948" w:rsidRPr="00EE267E">
        <w:rPr>
          <w:i/>
          <w:iCs/>
        </w:rPr>
        <w:t xml:space="preserve"> </w:t>
      </w:r>
      <w:r w:rsidR="009776C3" w:rsidRPr="00EE267E">
        <w:rPr>
          <w:i/>
          <w:iCs/>
        </w:rPr>
        <w:t>69.</w:t>
      </w:r>
      <w:r w:rsidR="00B036E6">
        <w:rPr>
          <w:i/>
          <w:iCs/>
        </w:rPr>
        <w:t>,</w:t>
      </w:r>
      <w:r w:rsidR="009776C3" w:rsidRPr="00EE267E">
        <w:rPr>
          <w:i/>
          <w:iCs/>
        </w:rPr>
        <w:t>7</w:t>
      </w:r>
      <w:r w:rsidR="00A26B5F">
        <w:rPr>
          <w:i/>
          <w:iCs/>
        </w:rPr>
        <w:t>9</w:t>
      </w:r>
      <w:r w:rsidR="009776C3" w:rsidRPr="00EE267E">
        <w:rPr>
          <w:i/>
          <w:iCs/>
        </w:rPr>
        <w:t>.</w:t>
      </w:r>
      <w:r w:rsidR="00B036E6">
        <w:rPr>
          <w:i/>
          <w:iCs/>
        </w:rPr>
        <w:t xml:space="preserve"> un </w:t>
      </w:r>
      <w:r w:rsidR="00B036E6" w:rsidRPr="008111B0">
        <w:rPr>
          <w:i/>
          <w:iCs/>
          <w:color w:val="000000" w:themeColor="text1"/>
        </w:rPr>
        <w:t>81</w:t>
      </w:r>
      <w:r w:rsidR="00B036E6" w:rsidRPr="000E7210">
        <w:rPr>
          <w:i/>
          <w:iCs/>
        </w:rPr>
        <w:t>.</w:t>
      </w:r>
      <w:hyperlink r:id="rId8" w:anchor="p45" w:tgtFrame="_blank" w:history="1">
        <w:r w:rsidRPr="00EE267E">
          <w:rPr>
            <w:i/>
            <w:iCs/>
          </w:rPr>
          <w:t>punktu</w:t>
        </w:r>
      </w:hyperlink>
      <w:r w:rsidRPr="00EE267E">
        <w:rPr>
          <w:i/>
          <w:iCs/>
        </w:rPr>
        <w:t xml:space="preserve"> </w:t>
      </w:r>
      <w:r w:rsidRPr="00EE267E">
        <w:rPr>
          <w:i/>
          <w:iCs/>
        </w:rPr>
        <w:br/>
      </w:r>
    </w:p>
    <w:p w14:paraId="5226E18C" w14:textId="77777777" w:rsidR="00845283" w:rsidRPr="005D79AA" w:rsidRDefault="00EE267E" w:rsidP="00FD7E42">
      <w:pPr>
        <w:pStyle w:val="ListParagraph"/>
        <w:numPr>
          <w:ilvl w:val="0"/>
          <w:numId w:val="2"/>
        </w:numPr>
        <w:spacing w:before="240" w:after="240" w:line="240" w:lineRule="auto"/>
        <w:ind w:left="284" w:hanging="369"/>
        <w:contextualSpacing w:val="0"/>
        <w:jc w:val="center"/>
        <w:rPr>
          <w:rFonts w:ascii="Times New Roman Bold" w:hAnsi="Times New Roman Bold" w:cs="Times New Roman"/>
          <w:b/>
          <w:sz w:val="24"/>
          <w:szCs w:val="24"/>
        </w:rPr>
      </w:pPr>
      <w:bookmarkStart w:id="0" w:name="n1"/>
      <w:bookmarkEnd w:id="0"/>
      <w:r w:rsidRPr="005D79AA">
        <w:rPr>
          <w:rFonts w:ascii="Times New Roman Bold" w:hAnsi="Times New Roman Bold" w:cs="Times New Roman"/>
          <w:b/>
          <w:sz w:val="24"/>
          <w:szCs w:val="24"/>
        </w:rPr>
        <w:t>V</w:t>
      </w:r>
      <w:r w:rsidR="005D79AA" w:rsidRPr="005D79AA">
        <w:rPr>
          <w:rFonts w:ascii="Times New Roman Bold" w:hAnsi="Times New Roman Bold" w:cs="Times New Roman"/>
          <w:b/>
          <w:sz w:val="24"/>
          <w:szCs w:val="24"/>
        </w:rPr>
        <w:t>ispārīgie</w:t>
      </w:r>
      <w:r w:rsidRPr="005D79AA">
        <w:rPr>
          <w:rFonts w:ascii="Times New Roman Bold" w:hAnsi="Times New Roman Bold" w:cs="Times New Roman"/>
          <w:b/>
          <w:sz w:val="24"/>
          <w:szCs w:val="24"/>
        </w:rPr>
        <w:t xml:space="preserve"> </w:t>
      </w:r>
      <w:r w:rsidR="005D79AA" w:rsidRPr="005D79AA">
        <w:rPr>
          <w:rFonts w:ascii="Times New Roman Bold" w:hAnsi="Times New Roman Bold" w:cs="Times New Roman"/>
          <w:b/>
          <w:sz w:val="24"/>
          <w:szCs w:val="24"/>
        </w:rPr>
        <w:t>jautājumi</w:t>
      </w:r>
    </w:p>
    <w:p w14:paraId="38A78A6E" w14:textId="45D3690D" w:rsidR="005862AD" w:rsidRPr="00906F00" w:rsidRDefault="005862AD" w:rsidP="001177C1">
      <w:pPr>
        <w:pStyle w:val="ListParagraph"/>
        <w:numPr>
          <w:ilvl w:val="0"/>
          <w:numId w:val="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00">
        <w:rPr>
          <w:rFonts w:ascii="Times New Roman" w:hAnsi="Times New Roman" w:cs="Times New Roman"/>
          <w:color w:val="000000"/>
          <w:sz w:val="24"/>
          <w:szCs w:val="24"/>
        </w:rPr>
        <w:t>Saistošie noteikumi nosaka augstas detalizācijas topogrāfiskās informācijas</w:t>
      </w:r>
      <w:r w:rsidRPr="00906F0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(turpmāk – </w:t>
      </w:r>
      <w:r w:rsidR="00F617D1" w:rsidRPr="00906F00">
        <w:rPr>
          <w:rFonts w:ascii="Times New Roman" w:hAnsi="Times New Roman" w:cs="Times New Roman"/>
          <w:color w:val="000000"/>
          <w:sz w:val="24"/>
          <w:szCs w:val="24"/>
        </w:rPr>
        <w:t>topogrāfiskā informācija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1E0F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>iesniegšanas, pieņemšanas,</w:t>
      </w:r>
      <w:r w:rsidR="003874E0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pārbaudes,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izsniegšanas un </w:t>
      </w:r>
      <w:r w:rsidR="00FE7E4C" w:rsidRPr="00906F00">
        <w:rPr>
          <w:rFonts w:ascii="Times New Roman" w:hAnsi="Times New Roman" w:cs="Times New Roman"/>
          <w:color w:val="000000"/>
          <w:sz w:val="24"/>
          <w:szCs w:val="24"/>
        </w:rPr>
        <w:t>atjaunināšanas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kārtību,</w:t>
      </w:r>
      <w:r w:rsidR="00ED57D3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8D4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kā arī maksas piemērošanas kārtību par </w:t>
      </w:r>
      <w:r w:rsidR="00ED57D3" w:rsidRPr="00906F00">
        <w:rPr>
          <w:rFonts w:ascii="Times New Roman" w:hAnsi="Times New Roman" w:cs="Times New Roman"/>
          <w:color w:val="000000"/>
          <w:sz w:val="24"/>
          <w:szCs w:val="24"/>
        </w:rPr>
        <w:t>ģeotelpiskās informācijas izsniegšan</w:t>
      </w:r>
      <w:r w:rsidR="001D78D4" w:rsidRPr="00906F0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E1ED1" w:rsidRPr="00906F00">
        <w:rPr>
          <w:rStyle w:val="CommentReference"/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2D3FB60" w14:textId="5A71F6F5" w:rsidR="008A7685" w:rsidRPr="00906F00" w:rsidRDefault="00F617D1" w:rsidP="008A7685">
      <w:pPr>
        <w:pStyle w:val="ListParagraph"/>
        <w:numPr>
          <w:ilvl w:val="0"/>
          <w:numId w:val="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Topogrāfiskās informācijas </w:t>
      </w:r>
      <w:r w:rsidR="00147064" w:rsidRPr="00906F00">
        <w:rPr>
          <w:rFonts w:ascii="Times New Roman" w:hAnsi="Times New Roman" w:cs="Times New Roman"/>
          <w:color w:val="000000"/>
          <w:sz w:val="24"/>
          <w:szCs w:val="24"/>
        </w:rPr>
        <w:t>datub</w:t>
      </w:r>
      <w:r w:rsidR="002C4A76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āzes par Jelgavas pilsētas administratīvo teritoriju </w:t>
      </w:r>
      <w:r w:rsidR="00BA7BA1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(turpmāk – Datubāze) </w:t>
      </w:r>
      <w:r w:rsidR="002D4B11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turētājs </w:t>
      </w:r>
      <w:r w:rsidR="002C4A76" w:rsidRPr="00906F00">
        <w:rPr>
          <w:rFonts w:ascii="Times New Roman" w:hAnsi="Times New Roman" w:cs="Times New Roman"/>
          <w:color w:val="000000"/>
          <w:sz w:val="24"/>
          <w:szCs w:val="24"/>
        </w:rPr>
        <w:t>ir Jelgavas pilsētas pašvaldības administrācijas Būvvalde (turpmāk – Būvvalde)</w:t>
      </w:r>
      <w:r w:rsidR="00E02627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, kura veic topogrāfiskās informācijas pieņemšanu, pārbaudi, uzkrāšanu </w:t>
      </w:r>
      <w:r w:rsidR="008D349D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Datubāzē </w:t>
      </w:r>
      <w:r w:rsidR="00E02627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 w:rsidR="00773A6A" w:rsidRPr="00906F00">
        <w:rPr>
          <w:rFonts w:ascii="Times New Roman" w:hAnsi="Times New Roman" w:cs="Times New Roman"/>
          <w:color w:val="000000"/>
          <w:sz w:val="24"/>
          <w:szCs w:val="24"/>
        </w:rPr>
        <w:t>izsniegšanu</w:t>
      </w:r>
      <w:r w:rsidR="00BD55DA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8D349D" w:rsidRPr="00906F00">
        <w:rPr>
          <w:rFonts w:ascii="Times New Roman" w:hAnsi="Times New Roman" w:cs="Times New Roman"/>
          <w:color w:val="000000"/>
          <w:sz w:val="24"/>
          <w:szCs w:val="24"/>
        </w:rPr>
        <w:t>tās</w:t>
      </w:r>
      <w:r w:rsidR="00BD55DA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0F3" w:rsidRPr="00906F00">
        <w:rPr>
          <w:rFonts w:ascii="Times New Roman" w:hAnsi="Times New Roman" w:cs="Times New Roman"/>
          <w:color w:val="000000"/>
          <w:sz w:val="24"/>
          <w:szCs w:val="24"/>
        </w:rPr>
        <w:t>tādā</w:t>
      </w:r>
      <w:r w:rsidR="00E02627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formātā</w:t>
      </w:r>
      <w:r w:rsidR="00273532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un mēroga noteiktībā</w:t>
      </w:r>
      <w:r w:rsidR="00F120F3" w:rsidRPr="00906F00">
        <w:rPr>
          <w:rFonts w:ascii="Times New Roman" w:hAnsi="Times New Roman" w:cs="Times New Roman"/>
          <w:color w:val="000000"/>
          <w:sz w:val="24"/>
          <w:szCs w:val="24"/>
        </w:rPr>
        <w:t>, kādā tiek uzturēta Datubāze</w:t>
      </w:r>
      <w:r w:rsidR="002C4A76" w:rsidRPr="00906F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7064"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0EA7F9" w14:textId="26C807D4" w:rsidR="00A96308" w:rsidRPr="00906F00" w:rsidRDefault="00DC5794" w:rsidP="00DC5794">
      <w:pPr>
        <w:pStyle w:val="ListParagraph"/>
        <w:numPr>
          <w:ilvl w:val="0"/>
          <w:numId w:val="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Topogrāfiskā plāna derīguma termiņš ir viens gads, skaitot </w:t>
      </w:r>
      <w:r w:rsidR="00644C00" w:rsidRPr="00906F00">
        <w:rPr>
          <w:rFonts w:ascii="Times New Roman" w:hAnsi="Times New Roman" w:cs="Times New Roman"/>
          <w:color w:val="000000"/>
          <w:sz w:val="24"/>
          <w:szCs w:val="24"/>
        </w:rPr>
        <w:t>no tā reģistrācijas datuma Datubāz</w:t>
      </w:r>
      <w:r w:rsidR="00437451" w:rsidRPr="00906F00">
        <w:rPr>
          <w:rFonts w:ascii="Times New Roman" w:hAnsi="Times New Roman" w:cs="Times New Roman"/>
          <w:color w:val="000000"/>
          <w:sz w:val="24"/>
          <w:szCs w:val="24"/>
        </w:rPr>
        <w:t>ē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. Saņemot iesniegumu no topogrāfiskā plāna pasūtītāja vai izstrādātāja, </w:t>
      </w:r>
      <w:r w:rsidR="00705578" w:rsidRPr="00906F00">
        <w:rPr>
          <w:rFonts w:ascii="Times New Roman" w:hAnsi="Times New Roman" w:cs="Times New Roman"/>
          <w:color w:val="000000"/>
          <w:sz w:val="24"/>
          <w:szCs w:val="24"/>
        </w:rPr>
        <w:t>Būvvalde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, izvērtējot topogrāfiskā plāna aktualitāti, var tā derīguma termiņu pagarināt līdz 2 gadiem, skaitot no tā reģistrācijas datuma </w:t>
      </w:r>
      <w:r w:rsidR="00705578" w:rsidRPr="00906F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6F00">
        <w:rPr>
          <w:rFonts w:ascii="Times New Roman" w:hAnsi="Times New Roman" w:cs="Times New Roman"/>
          <w:color w:val="000000"/>
          <w:sz w:val="24"/>
          <w:szCs w:val="24"/>
        </w:rPr>
        <w:t>atubāzē.</w:t>
      </w:r>
    </w:p>
    <w:p w14:paraId="6B584AB9" w14:textId="447E9F08" w:rsidR="007B2332" w:rsidRPr="00906F00" w:rsidRDefault="007B2332" w:rsidP="008A7685">
      <w:pPr>
        <w:pStyle w:val="ListParagraph"/>
        <w:numPr>
          <w:ilvl w:val="0"/>
          <w:numId w:val="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00">
        <w:rPr>
          <w:rFonts w:ascii="Times New Roman" w:hAnsi="Times New Roman" w:cs="Times New Roman"/>
          <w:color w:val="000000"/>
          <w:sz w:val="24"/>
          <w:szCs w:val="24"/>
        </w:rPr>
        <w:t xml:space="preserve">Datubāze tiek </w:t>
      </w:r>
      <w:r w:rsidR="0001140A" w:rsidRPr="00906F00">
        <w:rPr>
          <w:rFonts w:ascii="Times New Roman" w:hAnsi="Times New Roman" w:cs="Times New Roman"/>
          <w:color w:val="000000"/>
          <w:sz w:val="24"/>
          <w:szCs w:val="24"/>
        </w:rPr>
        <w:t>uzturēta digitālā vektordatu formā DGN datņu formātā</w:t>
      </w:r>
      <w:r w:rsidR="00273532" w:rsidRPr="00906F00">
        <w:rPr>
          <w:rFonts w:ascii="Times New Roman" w:hAnsi="Times New Roman" w:cs="Times New Roman"/>
          <w:color w:val="000000"/>
          <w:sz w:val="24"/>
          <w:szCs w:val="24"/>
        </w:rPr>
        <w:t>, ar mēroga noteiktību 1:500</w:t>
      </w:r>
      <w:r w:rsidR="00EF2D03" w:rsidRPr="00906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8128D3" w14:textId="62E12894" w:rsidR="005862AD" w:rsidRPr="005D79AA" w:rsidRDefault="00C75B5D" w:rsidP="00FD7E42">
      <w:pPr>
        <w:pStyle w:val="ListParagraph"/>
        <w:numPr>
          <w:ilvl w:val="0"/>
          <w:numId w:val="2"/>
        </w:numPr>
        <w:spacing w:before="240" w:after="240" w:line="240" w:lineRule="auto"/>
        <w:ind w:left="426" w:hanging="369"/>
        <w:contextualSpacing w:val="0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bCs/>
          <w:sz w:val="24"/>
          <w:szCs w:val="24"/>
        </w:rPr>
        <w:t>Topogrāfiskās</w:t>
      </w:r>
      <w:r w:rsidRPr="005D79AA">
        <w:rPr>
          <w:rFonts w:ascii="Times New Roman Bold" w:hAnsi="Times New Roman Bold" w:cs="Times New Roman"/>
          <w:b/>
          <w:bCs/>
          <w:sz w:val="24"/>
          <w:szCs w:val="24"/>
        </w:rPr>
        <w:t xml:space="preserve"> </w:t>
      </w:r>
      <w:r w:rsidR="00BF1F3A" w:rsidRPr="005D79AA">
        <w:rPr>
          <w:rFonts w:ascii="Times New Roman Bold" w:hAnsi="Times New Roman Bold" w:cs="Times New Roman"/>
          <w:b/>
          <w:bCs/>
          <w:sz w:val="24"/>
          <w:szCs w:val="24"/>
        </w:rPr>
        <w:t xml:space="preserve">informācijas iesniegšanas un </w:t>
      </w:r>
      <w:r w:rsidR="0069640C">
        <w:rPr>
          <w:rFonts w:ascii="Times New Roman Bold" w:hAnsi="Times New Roman Bold" w:cs="Times New Roman"/>
          <w:b/>
          <w:bCs/>
          <w:sz w:val="24"/>
          <w:szCs w:val="24"/>
        </w:rPr>
        <w:t>p</w:t>
      </w:r>
      <w:r w:rsidR="00861C87">
        <w:rPr>
          <w:rFonts w:ascii="Times New Roman Bold" w:hAnsi="Times New Roman Bold" w:cs="Times New Roman"/>
          <w:b/>
          <w:bCs/>
          <w:sz w:val="24"/>
          <w:szCs w:val="24"/>
        </w:rPr>
        <w:t>ieņ</w:t>
      </w:r>
      <w:r w:rsidR="0069640C">
        <w:rPr>
          <w:rFonts w:ascii="Times New Roman Bold" w:hAnsi="Times New Roman Bold" w:cs="Times New Roman"/>
          <w:b/>
          <w:bCs/>
          <w:sz w:val="24"/>
          <w:szCs w:val="24"/>
        </w:rPr>
        <w:t>emšanas</w:t>
      </w:r>
      <w:r w:rsidR="00BF1F3A" w:rsidRPr="005D79AA">
        <w:rPr>
          <w:rFonts w:ascii="Times New Roman Bold" w:hAnsi="Times New Roman Bold" w:cs="Times New Roman"/>
          <w:b/>
          <w:bCs/>
          <w:sz w:val="24"/>
          <w:szCs w:val="24"/>
        </w:rPr>
        <w:t xml:space="preserve"> kārtība</w:t>
      </w:r>
    </w:p>
    <w:p w14:paraId="798AAA57" w14:textId="5EC71BB3" w:rsidR="0018676D" w:rsidRPr="0018676D" w:rsidRDefault="00BF1F3A" w:rsidP="00050D79">
      <w:pPr>
        <w:numPr>
          <w:ilvl w:val="0"/>
          <w:numId w:val="1"/>
        </w:numPr>
        <w:tabs>
          <w:tab w:val="left" w:pos="1935"/>
        </w:tabs>
        <w:spacing w:before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18676D">
        <w:rPr>
          <w:color w:val="000000"/>
        </w:rPr>
        <w:t xml:space="preserve">Būvvalde pieņem </w:t>
      </w:r>
      <w:r w:rsidR="00473C12" w:rsidRPr="0018676D">
        <w:rPr>
          <w:color w:val="000000"/>
        </w:rPr>
        <w:t>pārbaudei</w:t>
      </w:r>
      <w:r w:rsidR="00104EB0" w:rsidRPr="0018676D">
        <w:rPr>
          <w:color w:val="000000"/>
        </w:rPr>
        <w:t xml:space="preserve"> un</w:t>
      </w:r>
      <w:r w:rsidR="00473C12" w:rsidRPr="0018676D">
        <w:rPr>
          <w:color w:val="000000"/>
        </w:rPr>
        <w:t xml:space="preserve"> </w:t>
      </w:r>
      <w:r w:rsidR="002461EA" w:rsidRPr="0018676D">
        <w:rPr>
          <w:color w:val="000000"/>
        </w:rPr>
        <w:t>ievieto</w:t>
      </w:r>
      <w:r w:rsidR="00C577B5" w:rsidRPr="0018676D">
        <w:rPr>
          <w:color w:val="000000"/>
        </w:rPr>
        <w:t>šanai</w:t>
      </w:r>
      <w:r w:rsidRPr="0018676D">
        <w:rPr>
          <w:color w:val="000000"/>
        </w:rPr>
        <w:t xml:space="preserve"> </w:t>
      </w:r>
      <w:r w:rsidR="00BA7BA1" w:rsidRPr="0018676D">
        <w:rPr>
          <w:color w:val="000000"/>
        </w:rPr>
        <w:t>D</w:t>
      </w:r>
      <w:r w:rsidR="00DE5E8D" w:rsidRPr="0018676D">
        <w:rPr>
          <w:color w:val="000000"/>
        </w:rPr>
        <w:t>atubāzē</w:t>
      </w:r>
      <w:r w:rsidR="00B2023F" w:rsidRPr="0018676D">
        <w:rPr>
          <w:color w:val="000000"/>
        </w:rPr>
        <w:t xml:space="preserve"> </w:t>
      </w:r>
      <w:r w:rsidR="00A2632F" w:rsidRPr="0018676D">
        <w:rPr>
          <w:color w:val="000000"/>
        </w:rPr>
        <w:t xml:space="preserve">topogrāfisko </w:t>
      </w:r>
      <w:r w:rsidR="00A2632F">
        <w:rPr>
          <w:color w:val="000000"/>
        </w:rPr>
        <w:t xml:space="preserve">plānu un </w:t>
      </w:r>
      <w:proofErr w:type="spellStart"/>
      <w:r w:rsidR="00A2632F">
        <w:rPr>
          <w:color w:val="000000"/>
        </w:rPr>
        <w:t>izpildmērījum</w:t>
      </w:r>
      <w:r w:rsidR="0007043F">
        <w:rPr>
          <w:color w:val="000000"/>
        </w:rPr>
        <w:t>a</w:t>
      </w:r>
      <w:proofErr w:type="spellEnd"/>
      <w:r w:rsidR="00A2632F" w:rsidRPr="0018676D">
        <w:rPr>
          <w:color w:val="000000"/>
        </w:rPr>
        <w:t xml:space="preserve"> plānu</w:t>
      </w:r>
      <w:r w:rsidR="00A2632F" w:rsidRPr="0018676D">
        <w:rPr>
          <w:color w:val="000000" w:themeColor="text1"/>
        </w:rPr>
        <w:t xml:space="preserve"> </w:t>
      </w:r>
      <w:r w:rsidR="00A2632F">
        <w:rPr>
          <w:color w:val="000000" w:themeColor="text1"/>
        </w:rPr>
        <w:t xml:space="preserve">no </w:t>
      </w:r>
      <w:r w:rsidR="00B2023F" w:rsidRPr="0018676D">
        <w:rPr>
          <w:color w:val="000000" w:themeColor="text1"/>
        </w:rPr>
        <w:t>ģeodēziskajos darbos sertificētas personas</w:t>
      </w:r>
      <w:r w:rsidR="00BB15F6">
        <w:rPr>
          <w:color w:val="000000"/>
        </w:rPr>
        <w:t>.</w:t>
      </w:r>
    </w:p>
    <w:p w14:paraId="3E768340" w14:textId="65808C4D" w:rsidR="00C015F9" w:rsidRPr="0018676D" w:rsidRDefault="00BC0FF4" w:rsidP="00050D79">
      <w:pPr>
        <w:numPr>
          <w:ilvl w:val="0"/>
          <w:numId w:val="1"/>
        </w:numPr>
        <w:tabs>
          <w:tab w:val="left" w:pos="1935"/>
        </w:tabs>
        <w:spacing w:before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18676D">
        <w:rPr>
          <w:rFonts w:eastAsiaTheme="minorHAnsi"/>
          <w:color w:val="000000"/>
          <w:lang w:eastAsia="en-US"/>
        </w:rPr>
        <w:t>T</w:t>
      </w:r>
      <w:r w:rsidR="00225CEF" w:rsidRPr="0018676D">
        <w:rPr>
          <w:rFonts w:eastAsiaTheme="minorHAnsi"/>
          <w:color w:val="000000"/>
          <w:lang w:eastAsia="en-US"/>
        </w:rPr>
        <w:t xml:space="preserve">opogrāfisko </w:t>
      </w:r>
      <w:r w:rsidR="00A2632F">
        <w:rPr>
          <w:rFonts w:eastAsiaTheme="minorHAnsi"/>
          <w:color w:val="000000"/>
          <w:lang w:eastAsia="en-US"/>
        </w:rPr>
        <w:t xml:space="preserve">plānu </w:t>
      </w:r>
      <w:r w:rsidR="000D3294">
        <w:rPr>
          <w:rFonts w:eastAsiaTheme="minorHAnsi"/>
          <w:color w:val="000000"/>
          <w:lang w:eastAsia="en-US"/>
        </w:rPr>
        <w:t xml:space="preserve">un </w:t>
      </w:r>
      <w:proofErr w:type="spellStart"/>
      <w:r w:rsidR="000D3294">
        <w:rPr>
          <w:rFonts w:eastAsiaTheme="minorHAnsi"/>
          <w:color w:val="000000"/>
          <w:lang w:eastAsia="en-US"/>
        </w:rPr>
        <w:t>izpildmērījum</w:t>
      </w:r>
      <w:r w:rsidR="0007043F">
        <w:rPr>
          <w:rFonts w:eastAsiaTheme="minorHAnsi"/>
          <w:color w:val="000000"/>
          <w:lang w:eastAsia="en-US"/>
        </w:rPr>
        <w:t>a</w:t>
      </w:r>
      <w:proofErr w:type="spellEnd"/>
      <w:r w:rsidR="000D3294">
        <w:rPr>
          <w:rFonts w:eastAsiaTheme="minorHAnsi"/>
          <w:color w:val="000000"/>
          <w:lang w:eastAsia="en-US"/>
        </w:rPr>
        <w:t xml:space="preserve"> </w:t>
      </w:r>
      <w:r w:rsidR="00A2632F">
        <w:rPr>
          <w:rFonts w:eastAsiaTheme="minorHAnsi"/>
          <w:color w:val="000000"/>
          <w:lang w:eastAsia="en-US"/>
        </w:rPr>
        <w:t>plānu</w:t>
      </w:r>
      <w:r w:rsidRPr="0018676D">
        <w:rPr>
          <w:rFonts w:eastAsiaTheme="minorHAnsi"/>
          <w:color w:val="000000"/>
          <w:lang w:eastAsia="en-US"/>
        </w:rPr>
        <w:t xml:space="preserve"> </w:t>
      </w:r>
      <w:r w:rsidR="00225CEF" w:rsidRPr="0018676D">
        <w:rPr>
          <w:rFonts w:eastAsiaTheme="minorHAnsi"/>
          <w:color w:val="000000"/>
          <w:lang w:eastAsia="en-US"/>
        </w:rPr>
        <w:t>iesnie</w:t>
      </w:r>
      <w:r w:rsidR="00122A97" w:rsidRPr="0018676D">
        <w:rPr>
          <w:rFonts w:eastAsiaTheme="minorHAnsi"/>
          <w:color w:val="000000"/>
          <w:lang w:eastAsia="en-US"/>
        </w:rPr>
        <w:t xml:space="preserve">dz </w:t>
      </w:r>
      <w:r w:rsidR="00547A52" w:rsidRPr="0018676D">
        <w:rPr>
          <w:rFonts w:eastAsiaTheme="minorHAnsi"/>
          <w:color w:val="000000"/>
          <w:lang w:eastAsia="en-US"/>
        </w:rPr>
        <w:t xml:space="preserve">ar elektroniski parakstītu iesniegumu </w:t>
      </w:r>
      <w:r w:rsidR="00C015F9" w:rsidRPr="0018676D">
        <w:rPr>
          <w:rFonts w:eastAsiaTheme="minorHAnsi"/>
          <w:color w:val="000000"/>
          <w:lang w:eastAsia="en-US"/>
        </w:rPr>
        <w:t xml:space="preserve">(veidlapa 4-35 </w:t>
      </w:r>
      <w:hyperlink r:id="rId9" w:history="1">
        <w:r w:rsidR="00C015F9" w:rsidRPr="0018676D">
          <w:rPr>
            <w:rFonts w:eastAsiaTheme="minorHAnsi"/>
            <w:color w:val="000000"/>
            <w:lang w:eastAsia="en-US"/>
          </w:rPr>
          <w:t>https://www.jelgava.lv/lv/pakalpojumi/maja-un-vide/maja-un-vide/</w:t>
        </w:r>
      </w:hyperlink>
      <w:r w:rsidR="00C015F9" w:rsidRPr="0018676D">
        <w:rPr>
          <w:rFonts w:eastAsiaTheme="minorHAnsi"/>
          <w:color w:val="000000"/>
          <w:lang w:eastAsia="en-US"/>
        </w:rPr>
        <w:t xml:space="preserve">) </w:t>
      </w:r>
      <w:r w:rsidR="00122A97" w:rsidRPr="0018676D">
        <w:rPr>
          <w:rFonts w:eastAsiaTheme="minorHAnsi"/>
          <w:color w:val="000000"/>
          <w:lang w:eastAsia="en-US"/>
        </w:rPr>
        <w:t>sūtot uz</w:t>
      </w:r>
      <w:r w:rsidR="00225CEF" w:rsidRPr="0018676D">
        <w:rPr>
          <w:rFonts w:eastAsiaTheme="minorHAnsi"/>
          <w:color w:val="000000"/>
          <w:lang w:eastAsia="en-US"/>
        </w:rPr>
        <w:t xml:space="preserve"> </w:t>
      </w:r>
      <w:r w:rsidR="00122A97" w:rsidRPr="0018676D">
        <w:rPr>
          <w:rFonts w:eastAsiaTheme="minorHAnsi"/>
          <w:color w:val="000000"/>
          <w:lang w:eastAsia="en-US"/>
        </w:rPr>
        <w:t>e-pastu</w:t>
      </w:r>
      <w:r w:rsidR="00CA0086">
        <w:rPr>
          <w:rFonts w:eastAsiaTheme="minorHAnsi"/>
          <w:color w:val="000000"/>
          <w:lang w:eastAsia="en-US"/>
        </w:rPr>
        <w:t>:</w:t>
      </w:r>
      <w:r w:rsidR="00122A97" w:rsidRPr="0018676D">
        <w:rPr>
          <w:rFonts w:eastAsiaTheme="minorHAnsi"/>
          <w:color w:val="000000"/>
          <w:lang w:eastAsia="en-US"/>
        </w:rPr>
        <w:t xml:space="preserve"> </w:t>
      </w:r>
      <w:hyperlink r:id="rId10" w:history="1">
        <w:r w:rsidR="00786220" w:rsidRPr="00C90F67">
          <w:rPr>
            <w:rStyle w:val="Hyperlink"/>
            <w:rFonts w:eastAsiaTheme="minorHAnsi"/>
            <w:lang w:eastAsia="en-US"/>
          </w:rPr>
          <w:t>info@dome.jelgava.lv</w:t>
        </w:r>
      </w:hyperlink>
      <w:r w:rsidR="00F617D1">
        <w:rPr>
          <w:rFonts w:eastAsiaTheme="minorHAnsi"/>
          <w:color w:val="000000"/>
          <w:lang w:eastAsia="en-US"/>
        </w:rPr>
        <w:t>.</w:t>
      </w:r>
      <w:r w:rsidR="00122A97" w:rsidRPr="0018676D">
        <w:rPr>
          <w:rFonts w:eastAsiaTheme="minorHAnsi"/>
          <w:color w:val="000000"/>
          <w:lang w:eastAsia="en-US"/>
        </w:rPr>
        <w:t xml:space="preserve"> </w:t>
      </w:r>
    </w:p>
    <w:p w14:paraId="381DF89B" w14:textId="52BAD8CC" w:rsidR="00F41A3C" w:rsidRPr="0018676D" w:rsidRDefault="00CA0086" w:rsidP="009F103E">
      <w:pPr>
        <w:numPr>
          <w:ilvl w:val="0"/>
          <w:numId w:val="1"/>
        </w:numPr>
        <w:tabs>
          <w:tab w:val="left" w:pos="1935"/>
        </w:tabs>
        <w:spacing w:before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18676D">
        <w:rPr>
          <w:rFonts w:eastAsiaTheme="minorHAnsi"/>
          <w:color w:val="000000"/>
          <w:lang w:eastAsia="en-US"/>
        </w:rPr>
        <w:t>Topogrāfisk</w:t>
      </w:r>
      <w:r w:rsidR="0007043F">
        <w:rPr>
          <w:rFonts w:eastAsiaTheme="minorHAnsi"/>
          <w:color w:val="000000"/>
          <w:lang w:eastAsia="en-US"/>
        </w:rPr>
        <w:t>ais</w:t>
      </w:r>
      <w:r w:rsidRPr="0018676D">
        <w:rPr>
          <w:rFonts w:eastAsiaTheme="minorHAnsi"/>
          <w:color w:val="000000"/>
          <w:lang w:eastAsia="en-US"/>
        </w:rPr>
        <w:t xml:space="preserve"> </w:t>
      </w:r>
      <w:r w:rsidR="00F41A3C" w:rsidRPr="0018676D">
        <w:rPr>
          <w:rFonts w:eastAsiaTheme="minorHAnsi"/>
          <w:color w:val="000000"/>
          <w:lang w:eastAsia="en-US"/>
        </w:rPr>
        <w:t>plān</w:t>
      </w:r>
      <w:r w:rsidR="0007043F">
        <w:rPr>
          <w:rFonts w:eastAsiaTheme="minorHAnsi"/>
          <w:color w:val="000000"/>
          <w:lang w:eastAsia="en-US"/>
        </w:rPr>
        <w:t>s</w:t>
      </w:r>
      <w:r w:rsidR="00631B4F">
        <w:rPr>
          <w:rFonts w:eastAsiaTheme="minorHAnsi"/>
          <w:color w:val="000000"/>
          <w:lang w:eastAsia="en-US"/>
        </w:rPr>
        <w:t xml:space="preserve"> saskaņojam</w:t>
      </w:r>
      <w:r w:rsidR="0007043F">
        <w:rPr>
          <w:rFonts w:eastAsiaTheme="minorHAnsi"/>
          <w:color w:val="000000"/>
          <w:lang w:eastAsia="en-US"/>
        </w:rPr>
        <w:t>s</w:t>
      </w:r>
      <w:r w:rsidR="00631B4F">
        <w:rPr>
          <w:rFonts w:eastAsiaTheme="minorHAnsi"/>
          <w:color w:val="000000"/>
          <w:lang w:eastAsia="en-US"/>
        </w:rPr>
        <w:t xml:space="preserve"> ar i</w:t>
      </w:r>
      <w:r w:rsidR="00B745A8" w:rsidRPr="0018676D">
        <w:rPr>
          <w:rFonts w:eastAsiaTheme="minorHAnsi"/>
          <w:color w:val="000000"/>
          <w:lang w:eastAsia="en-US"/>
        </w:rPr>
        <w:t>nženierkomunikāciju turētājiem</w:t>
      </w:r>
      <w:r w:rsidR="00B745A8">
        <w:rPr>
          <w:rFonts w:eastAsiaTheme="minorHAnsi"/>
          <w:color w:val="000000"/>
          <w:lang w:eastAsia="en-US"/>
        </w:rPr>
        <w:t>:</w:t>
      </w:r>
    </w:p>
    <w:p w14:paraId="602D12EA" w14:textId="69E19FD9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C015F9">
        <w:rPr>
          <w:rFonts w:eastAsiaTheme="minorHAnsi"/>
          <w:color w:val="000000"/>
          <w:lang w:eastAsia="en-US"/>
        </w:rPr>
        <w:t xml:space="preserve">.1. </w:t>
      </w:r>
      <w:r w:rsidR="007C3EC8" w:rsidRPr="00BF1F3A">
        <w:rPr>
          <w:rFonts w:eastAsiaTheme="minorHAnsi"/>
          <w:color w:val="000000"/>
          <w:lang w:eastAsia="en-US"/>
        </w:rPr>
        <w:t>SIA "Jelgavas ūdens";</w:t>
      </w:r>
    </w:p>
    <w:p w14:paraId="3C3B8302" w14:textId="1029669A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.2. AS "Gaso";</w:t>
      </w:r>
    </w:p>
    <w:p w14:paraId="521DC20F" w14:textId="23470CF5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.3. AS "Sadales tīkls";</w:t>
      </w:r>
    </w:p>
    <w:p w14:paraId="5AAAAD96" w14:textId="6FD1878E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.4. SIA "Tet";</w:t>
      </w:r>
    </w:p>
    <w:p w14:paraId="60D24229" w14:textId="40FDF0A6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3D2B28">
        <w:rPr>
          <w:rFonts w:eastAsiaTheme="minorHAnsi"/>
          <w:color w:val="000000"/>
          <w:lang w:eastAsia="en-US"/>
        </w:rPr>
        <w:t>.</w:t>
      </w:r>
      <w:r w:rsidR="007C3EC8" w:rsidRPr="00BF1F3A">
        <w:rPr>
          <w:rFonts w:eastAsiaTheme="minorHAnsi"/>
          <w:color w:val="000000"/>
          <w:lang w:eastAsia="en-US"/>
        </w:rPr>
        <w:t>5. Jelgavas pilsētas pašvaldības iestāde "Pilsētsaimniecība";</w:t>
      </w:r>
    </w:p>
    <w:p w14:paraId="7D410398" w14:textId="234D7B1B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.6. SIA "Fortum Jelgava";</w:t>
      </w:r>
    </w:p>
    <w:p w14:paraId="4233E337" w14:textId="20F46C9C" w:rsidR="007C3EC8" w:rsidRPr="00BF1F3A" w:rsidRDefault="00156373" w:rsidP="007C3EC8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7</w:t>
      </w:r>
      <w:r w:rsidR="007C3EC8" w:rsidRPr="00BF1F3A">
        <w:rPr>
          <w:rFonts w:eastAsiaTheme="minorHAnsi"/>
          <w:color w:val="000000"/>
          <w:lang w:eastAsia="en-US"/>
        </w:rPr>
        <w:t>.7. valsts akciju sabiedrība "Latvijas Valsts radio un televīzijas centrs";</w:t>
      </w:r>
    </w:p>
    <w:p w14:paraId="37E05620" w14:textId="3E53DF3B" w:rsidR="00905F5F" w:rsidRDefault="00156373" w:rsidP="00905F5F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.8. valsts akciju sabiedrība “Latvijas dzelzceļš”;</w:t>
      </w:r>
    </w:p>
    <w:p w14:paraId="638A9A44" w14:textId="64600E42" w:rsidR="000D777D" w:rsidRDefault="00156373" w:rsidP="00905F5F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7C3EC8" w:rsidRPr="00BF1F3A">
        <w:rPr>
          <w:rFonts w:eastAsiaTheme="minorHAnsi"/>
          <w:color w:val="000000"/>
          <w:lang w:eastAsia="en-US"/>
        </w:rPr>
        <w:t>.9. SIA "Digitālo servisu parks".</w:t>
      </w:r>
    </w:p>
    <w:p w14:paraId="6A81155B" w14:textId="76C8B5AD" w:rsidR="00FC0EE4" w:rsidRDefault="00146AF0" w:rsidP="00FC0EE4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Datubāzē tiek ievadīta</w:t>
      </w:r>
      <w:r w:rsidRPr="00BF1F3A">
        <w:rPr>
          <w:rFonts w:eastAsiaTheme="minorHAnsi"/>
          <w:color w:val="000000"/>
          <w:lang w:eastAsia="en-US"/>
        </w:rPr>
        <w:t xml:space="preserve"> </w:t>
      </w:r>
      <w:r w:rsidRPr="00631B4F">
        <w:rPr>
          <w:rFonts w:eastAsiaTheme="minorHAnsi"/>
          <w:color w:val="000000"/>
          <w:lang w:eastAsia="en-US"/>
        </w:rPr>
        <w:t>topogrāfiskā informācija,</w:t>
      </w:r>
      <w:r w:rsidRPr="00F20975">
        <w:rPr>
          <w:rFonts w:eastAsiaTheme="minorHAnsi"/>
          <w:color w:val="FF0000"/>
          <w:lang w:eastAsia="en-US"/>
        </w:rPr>
        <w:t xml:space="preserve"> </w:t>
      </w:r>
      <w:r w:rsidRPr="00BF1F3A">
        <w:rPr>
          <w:rFonts w:eastAsiaTheme="minorHAnsi"/>
          <w:color w:val="000000"/>
          <w:lang w:eastAsia="en-US"/>
        </w:rPr>
        <w:t>kas saskaņot</w:t>
      </w:r>
      <w:r>
        <w:rPr>
          <w:rFonts w:eastAsiaTheme="minorHAnsi"/>
          <w:color w:val="000000"/>
          <w:lang w:eastAsia="en-US"/>
        </w:rPr>
        <w:t xml:space="preserve">a </w:t>
      </w:r>
      <w:r w:rsidRPr="00BF1F3A">
        <w:rPr>
          <w:rFonts w:eastAsiaTheme="minorHAnsi"/>
          <w:color w:val="000000"/>
          <w:lang w:eastAsia="en-US"/>
        </w:rPr>
        <w:t>ar tiem inženierkomunikāciju turētājiem, kas ir atbildī</w:t>
      </w:r>
      <w:r w:rsidR="00C23F0A">
        <w:rPr>
          <w:rFonts w:eastAsiaTheme="minorHAnsi"/>
          <w:color w:val="000000"/>
          <w:lang w:eastAsia="en-US"/>
        </w:rPr>
        <w:t>gi par inženierkomunikācijām</w:t>
      </w:r>
      <w:r w:rsidRPr="00BF1F3A">
        <w:rPr>
          <w:rFonts w:eastAsiaTheme="minorHAnsi"/>
          <w:color w:val="000000"/>
          <w:lang w:eastAsia="en-US"/>
        </w:rPr>
        <w:t xml:space="preserve"> teritorijā, kurā veikta topogrāfiskā uzmērīšan</w:t>
      </w:r>
      <w:r>
        <w:rPr>
          <w:rFonts w:eastAsiaTheme="minorHAnsi"/>
          <w:color w:val="000000"/>
          <w:lang w:eastAsia="en-US"/>
        </w:rPr>
        <w:t>a</w:t>
      </w:r>
      <w:r w:rsidRPr="00BF1F3A">
        <w:rPr>
          <w:rFonts w:eastAsiaTheme="minorHAnsi"/>
          <w:color w:val="000000"/>
          <w:lang w:eastAsia="en-US"/>
        </w:rPr>
        <w:t>.</w:t>
      </w:r>
      <w:r w:rsidR="000D777D">
        <w:rPr>
          <w:rFonts w:eastAsiaTheme="minorHAnsi"/>
          <w:color w:val="000000"/>
          <w:lang w:eastAsia="en-US"/>
        </w:rPr>
        <w:t xml:space="preserve"> </w:t>
      </w:r>
      <w:r w:rsidR="003D2EC5">
        <w:rPr>
          <w:rFonts w:eastAsiaTheme="minorHAnsi"/>
          <w:color w:val="000000"/>
          <w:lang w:eastAsia="en-US"/>
        </w:rPr>
        <w:t xml:space="preserve">Būvvalde ir tiesīga pieprasīt saskaņot topogrāfisko </w:t>
      </w:r>
      <w:r w:rsidR="00C052ED">
        <w:rPr>
          <w:rFonts w:eastAsiaTheme="minorHAnsi"/>
          <w:color w:val="000000"/>
          <w:lang w:eastAsia="en-US"/>
        </w:rPr>
        <w:t>plānu</w:t>
      </w:r>
      <w:r w:rsidR="003D2EC5">
        <w:rPr>
          <w:rFonts w:eastAsiaTheme="minorHAnsi"/>
          <w:color w:val="000000"/>
          <w:lang w:eastAsia="en-US"/>
        </w:rPr>
        <w:t xml:space="preserve"> ar citu </w:t>
      </w:r>
      <w:r w:rsidR="00C578FA">
        <w:rPr>
          <w:rFonts w:eastAsiaTheme="minorHAnsi"/>
          <w:color w:val="000000"/>
          <w:lang w:eastAsia="en-US"/>
        </w:rPr>
        <w:t>inženierkomunikācij</w:t>
      </w:r>
      <w:r w:rsidR="000D01C1">
        <w:rPr>
          <w:rFonts w:eastAsiaTheme="minorHAnsi"/>
          <w:color w:val="000000"/>
          <w:lang w:eastAsia="en-US"/>
        </w:rPr>
        <w:t>u turētāju</w:t>
      </w:r>
      <w:r w:rsidR="007D5C03">
        <w:rPr>
          <w:rFonts w:eastAsiaTheme="minorHAnsi"/>
          <w:color w:val="000000"/>
          <w:lang w:eastAsia="en-US"/>
        </w:rPr>
        <w:t>,</w:t>
      </w:r>
      <w:r w:rsidR="00C578FA" w:rsidRPr="00C578FA">
        <w:rPr>
          <w:rFonts w:eastAsiaTheme="minorHAnsi"/>
          <w:color w:val="000000"/>
          <w:lang w:eastAsia="en-US"/>
        </w:rPr>
        <w:t xml:space="preserve"> </w:t>
      </w:r>
      <w:r w:rsidR="00C578FA">
        <w:rPr>
          <w:rFonts w:eastAsiaTheme="minorHAnsi"/>
          <w:color w:val="000000"/>
          <w:lang w:eastAsia="en-US"/>
        </w:rPr>
        <w:t>ja uzmērītajā teritorijā atrodas</w:t>
      </w:r>
      <w:r w:rsidR="000D01C1">
        <w:rPr>
          <w:rFonts w:eastAsiaTheme="minorHAnsi"/>
          <w:color w:val="000000"/>
          <w:lang w:eastAsia="en-US"/>
        </w:rPr>
        <w:t xml:space="preserve"> inženierkomunikācija, kuras </w:t>
      </w:r>
      <w:r w:rsidR="00C3457E">
        <w:rPr>
          <w:rFonts w:eastAsiaTheme="minorHAnsi"/>
          <w:color w:val="000000"/>
          <w:lang w:eastAsia="en-US"/>
        </w:rPr>
        <w:t xml:space="preserve">turētājs </w:t>
      </w:r>
      <w:r w:rsidR="000D01C1">
        <w:rPr>
          <w:rFonts w:eastAsiaTheme="minorHAnsi"/>
          <w:color w:val="000000"/>
          <w:lang w:eastAsia="en-US"/>
        </w:rPr>
        <w:t xml:space="preserve">nav norādīts </w:t>
      </w:r>
      <w:r w:rsidR="00C3457E">
        <w:rPr>
          <w:rFonts w:eastAsiaTheme="minorHAnsi"/>
          <w:color w:val="000000"/>
          <w:lang w:eastAsia="en-US"/>
        </w:rPr>
        <w:t xml:space="preserve">šo noteikumu </w:t>
      </w:r>
      <w:r w:rsidR="007C314D">
        <w:rPr>
          <w:rFonts w:eastAsiaTheme="minorHAnsi"/>
          <w:color w:val="000000"/>
          <w:lang w:eastAsia="en-US"/>
        </w:rPr>
        <w:t>7</w:t>
      </w:r>
      <w:r w:rsidR="000D01C1">
        <w:rPr>
          <w:rFonts w:eastAsiaTheme="minorHAnsi"/>
          <w:color w:val="000000"/>
          <w:lang w:eastAsia="en-US"/>
        </w:rPr>
        <w:t>. punktā</w:t>
      </w:r>
      <w:r w:rsidR="007D5C03">
        <w:rPr>
          <w:rFonts w:eastAsiaTheme="minorHAnsi"/>
          <w:color w:val="000000"/>
          <w:lang w:eastAsia="en-US"/>
        </w:rPr>
        <w:t>.</w:t>
      </w:r>
      <w:r w:rsidR="00FC0EE4" w:rsidRPr="00FC0EE4">
        <w:rPr>
          <w:rFonts w:eastAsiaTheme="minorHAnsi"/>
          <w:color w:val="000000"/>
          <w:lang w:eastAsia="en-US"/>
        </w:rPr>
        <w:t xml:space="preserve"> </w:t>
      </w:r>
    </w:p>
    <w:p w14:paraId="3AB41DEE" w14:textId="053C8D5B" w:rsidR="00FC0EE4" w:rsidRPr="00BF1F3A" w:rsidRDefault="00FC0EE4" w:rsidP="007A634E">
      <w:pPr>
        <w:numPr>
          <w:ilvl w:val="0"/>
          <w:numId w:val="1"/>
        </w:numPr>
        <w:spacing w:before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BF1F3A">
        <w:rPr>
          <w:rFonts w:eastAsiaTheme="minorHAnsi"/>
          <w:color w:val="000000"/>
          <w:lang w:eastAsia="en-US"/>
        </w:rPr>
        <w:t xml:space="preserve">Būvvalde </w:t>
      </w:r>
      <w:r>
        <w:rPr>
          <w:rFonts w:eastAsiaTheme="minorHAnsi"/>
          <w:color w:val="000000"/>
          <w:lang w:eastAsia="en-US"/>
        </w:rPr>
        <w:t>pārbauda iesniegt</w:t>
      </w:r>
      <w:r w:rsidR="00B1698E">
        <w:rPr>
          <w:rFonts w:eastAsiaTheme="minorHAnsi"/>
          <w:color w:val="000000"/>
          <w:lang w:eastAsia="en-US"/>
        </w:rPr>
        <w:t>ā</w:t>
      </w:r>
      <w:r>
        <w:rPr>
          <w:rFonts w:eastAsiaTheme="minorHAnsi"/>
          <w:color w:val="000000"/>
          <w:lang w:eastAsia="en-US"/>
        </w:rPr>
        <w:t xml:space="preserve"> </w:t>
      </w:r>
      <w:r w:rsidRPr="00BF1F3A">
        <w:rPr>
          <w:rFonts w:eastAsiaTheme="minorHAnsi"/>
          <w:color w:val="000000"/>
          <w:lang w:eastAsia="en-US"/>
        </w:rPr>
        <w:t>topogrāfisk</w:t>
      </w:r>
      <w:r w:rsidR="00B1698E">
        <w:rPr>
          <w:rFonts w:eastAsiaTheme="minorHAnsi"/>
          <w:color w:val="000000"/>
          <w:lang w:eastAsia="en-US"/>
        </w:rPr>
        <w:t>ā</w:t>
      </w:r>
      <w:r w:rsidR="00F67BFE">
        <w:rPr>
          <w:rFonts w:eastAsiaTheme="minorHAnsi"/>
          <w:color w:val="000000"/>
          <w:lang w:eastAsia="en-US"/>
        </w:rPr>
        <w:t xml:space="preserve"> </w:t>
      </w:r>
      <w:r w:rsidR="0007043F">
        <w:rPr>
          <w:rFonts w:eastAsiaTheme="minorHAnsi"/>
          <w:color w:val="000000"/>
          <w:lang w:eastAsia="en-US"/>
        </w:rPr>
        <w:t xml:space="preserve">plāna </w:t>
      </w:r>
      <w:r w:rsidR="004D3AA0">
        <w:rPr>
          <w:rFonts w:eastAsiaTheme="minorHAnsi"/>
          <w:color w:val="000000"/>
          <w:lang w:eastAsia="en-US"/>
        </w:rPr>
        <w:t xml:space="preserve">un </w:t>
      </w:r>
      <w:proofErr w:type="spellStart"/>
      <w:r w:rsidR="008F0EF4" w:rsidRPr="00500C73">
        <w:rPr>
          <w:rFonts w:eastAsiaTheme="minorHAnsi"/>
          <w:color w:val="000000"/>
          <w:lang w:eastAsia="en-US"/>
        </w:rPr>
        <w:t>izpildmērījum</w:t>
      </w:r>
      <w:r w:rsidR="0007043F">
        <w:rPr>
          <w:rFonts w:eastAsiaTheme="minorHAnsi"/>
          <w:color w:val="000000"/>
          <w:lang w:eastAsia="en-US"/>
        </w:rPr>
        <w:t>a</w:t>
      </w:r>
      <w:proofErr w:type="spellEnd"/>
      <w:r w:rsidRPr="00500C73">
        <w:rPr>
          <w:rFonts w:eastAsiaTheme="minorHAnsi"/>
          <w:color w:val="000000"/>
          <w:lang w:eastAsia="en-US"/>
        </w:rPr>
        <w:t xml:space="preserve"> plān</w:t>
      </w:r>
      <w:r w:rsidR="00835A13" w:rsidRPr="00500C73">
        <w:rPr>
          <w:rFonts w:eastAsiaTheme="minorHAnsi"/>
          <w:color w:val="000000"/>
          <w:lang w:eastAsia="en-US"/>
        </w:rPr>
        <w:t>a</w:t>
      </w:r>
      <w:r w:rsidRPr="00500C73">
        <w:rPr>
          <w:rFonts w:eastAsiaTheme="minorHAnsi"/>
          <w:color w:val="000000"/>
          <w:lang w:eastAsia="en-US"/>
        </w:rPr>
        <w:t xml:space="preserve"> </w:t>
      </w:r>
      <w:r w:rsidR="00FB34A4" w:rsidRPr="00500C73">
        <w:rPr>
          <w:rFonts w:eastAsiaTheme="minorHAnsi"/>
          <w:color w:val="000000"/>
          <w:lang w:eastAsia="en-US"/>
        </w:rPr>
        <w:t>atbilstību</w:t>
      </w:r>
      <w:r w:rsidR="001B2350">
        <w:rPr>
          <w:rFonts w:eastAsiaTheme="minorHAnsi"/>
          <w:color w:val="000000"/>
          <w:lang w:eastAsia="en-US"/>
        </w:rPr>
        <w:t>:</w:t>
      </w:r>
    </w:p>
    <w:p w14:paraId="334F67C6" w14:textId="46A491F5" w:rsidR="00B772BE" w:rsidRDefault="00550C9F" w:rsidP="007A634E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FC0EE4">
        <w:rPr>
          <w:rFonts w:eastAsiaTheme="minorHAnsi"/>
          <w:color w:val="000000"/>
          <w:lang w:eastAsia="en-US"/>
        </w:rPr>
        <w:t xml:space="preserve">.1 </w:t>
      </w:r>
      <w:r w:rsidR="00FC0EE4" w:rsidRPr="00BF1F3A">
        <w:rPr>
          <w:rFonts w:eastAsiaTheme="minorHAnsi"/>
          <w:color w:val="000000"/>
          <w:lang w:eastAsia="en-US"/>
        </w:rPr>
        <w:t>situācijai dabā</w:t>
      </w:r>
      <w:r w:rsidR="00FC0EE4">
        <w:rPr>
          <w:rFonts w:eastAsiaTheme="minorHAnsi"/>
          <w:color w:val="000000"/>
          <w:lang w:eastAsia="en-US"/>
        </w:rPr>
        <w:t>,</w:t>
      </w:r>
      <w:r w:rsidR="00FC0EE4" w:rsidRPr="00BF1F3A">
        <w:rPr>
          <w:rFonts w:eastAsiaTheme="minorHAnsi"/>
          <w:color w:val="000000"/>
          <w:lang w:eastAsia="en-US"/>
        </w:rPr>
        <w:t xml:space="preserve"> </w:t>
      </w:r>
    </w:p>
    <w:p w14:paraId="7864D048" w14:textId="3F57F92A" w:rsidR="00B772BE" w:rsidRDefault="00B772BE" w:rsidP="007A634E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 w:rsidRPr="00500C73">
        <w:rPr>
          <w:rFonts w:eastAsiaTheme="minorHAnsi"/>
          <w:color w:val="000000"/>
          <w:lang w:eastAsia="en-US"/>
        </w:rPr>
        <w:t xml:space="preserve">9.2 </w:t>
      </w:r>
      <w:r w:rsidR="00FC0EE4" w:rsidRPr="00500C73">
        <w:rPr>
          <w:rFonts w:eastAsiaTheme="minorHAnsi"/>
          <w:color w:val="000000"/>
          <w:lang w:eastAsia="en-US"/>
        </w:rPr>
        <w:t>informācijai Datubāzē</w:t>
      </w:r>
      <w:r w:rsidR="0078743A" w:rsidRPr="00500C73">
        <w:rPr>
          <w:rFonts w:eastAsiaTheme="minorHAnsi"/>
          <w:color w:val="000000"/>
          <w:lang w:eastAsia="en-US"/>
        </w:rPr>
        <w:t>;</w:t>
      </w:r>
      <w:r w:rsidR="00FC0EE4" w:rsidRPr="00BF1F3A">
        <w:rPr>
          <w:rFonts w:eastAsiaTheme="minorHAnsi"/>
          <w:color w:val="000000"/>
          <w:lang w:eastAsia="en-US"/>
        </w:rPr>
        <w:t xml:space="preserve"> </w:t>
      </w:r>
    </w:p>
    <w:p w14:paraId="2AED0E47" w14:textId="5E9B378E" w:rsidR="00FC0EE4" w:rsidRDefault="00B772BE" w:rsidP="007A634E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 w:rsidRPr="0081054C">
        <w:rPr>
          <w:rFonts w:eastAsiaTheme="minorHAnsi"/>
          <w:color w:val="000000" w:themeColor="text1"/>
          <w:lang w:eastAsia="en-US"/>
        </w:rPr>
        <w:t>9.3</w:t>
      </w:r>
      <w:r w:rsidR="001570CA" w:rsidRPr="0081054C">
        <w:rPr>
          <w:rFonts w:eastAsiaTheme="minorHAnsi"/>
          <w:color w:val="000000" w:themeColor="text1"/>
          <w:lang w:eastAsia="en-US"/>
        </w:rPr>
        <w:t xml:space="preserve"> teritorijas pl</w:t>
      </w:r>
      <w:r w:rsidR="0078743A" w:rsidRPr="0081054C">
        <w:rPr>
          <w:rFonts w:eastAsiaTheme="minorHAnsi"/>
          <w:color w:val="000000" w:themeColor="text1"/>
          <w:lang w:eastAsia="en-US"/>
        </w:rPr>
        <w:t>ānojum</w:t>
      </w:r>
      <w:r w:rsidR="0081054C" w:rsidRPr="0081054C">
        <w:rPr>
          <w:rFonts w:eastAsiaTheme="minorHAnsi"/>
          <w:color w:val="000000" w:themeColor="text1"/>
          <w:lang w:eastAsia="en-US"/>
        </w:rPr>
        <w:t>ā noteiktajām aizsargjoslām</w:t>
      </w:r>
      <w:r w:rsidR="00FC0EE4" w:rsidRPr="0081054C">
        <w:rPr>
          <w:rFonts w:eastAsiaTheme="minorHAnsi"/>
          <w:color w:val="000000" w:themeColor="text1"/>
          <w:lang w:eastAsia="en-US"/>
        </w:rPr>
        <w:t>;</w:t>
      </w:r>
    </w:p>
    <w:p w14:paraId="634972F6" w14:textId="4D9DC1A5" w:rsidR="00FC0EE4" w:rsidRDefault="00550C9F" w:rsidP="007A634E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FC0EE4">
        <w:rPr>
          <w:rFonts w:eastAsiaTheme="minorHAnsi"/>
          <w:color w:val="000000"/>
          <w:lang w:eastAsia="en-US"/>
        </w:rPr>
        <w:t>.</w:t>
      </w:r>
      <w:r w:rsidR="00B772BE">
        <w:rPr>
          <w:rFonts w:eastAsiaTheme="minorHAnsi"/>
          <w:color w:val="000000"/>
          <w:lang w:eastAsia="en-US"/>
        </w:rPr>
        <w:t>4</w:t>
      </w:r>
      <w:r w:rsidR="00FC0EE4" w:rsidRPr="00CD0E4A">
        <w:rPr>
          <w:rFonts w:eastAsiaTheme="minorHAnsi"/>
          <w:color w:val="000000"/>
          <w:lang w:eastAsia="en-US"/>
        </w:rPr>
        <w:t xml:space="preserve"> </w:t>
      </w:r>
      <w:r w:rsidR="00FC0EE4" w:rsidRPr="00000801">
        <w:rPr>
          <w:rFonts w:eastAsiaTheme="minorHAnsi"/>
          <w:color w:val="000000"/>
          <w:lang w:eastAsia="en-US"/>
        </w:rPr>
        <w:t>būvprojektam;</w:t>
      </w:r>
    </w:p>
    <w:p w14:paraId="13CC37EA" w14:textId="7261814F" w:rsidR="00FC0EE4" w:rsidRPr="00BF1F3A" w:rsidRDefault="00550C9F" w:rsidP="007A634E">
      <w:pPr>
        <w:tabs>
          <w:tab w:val="left" w:pos="1935"/>
        </w:tabs>
        <w:ind w:left="709" w:hanging="36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FC0EE4">
        <w:rPr>
          <w:rFonts w:eastAsiaTheme="minorHAnsi"/>
          <w:color w:val="000000"/>
          <w:lang w:eastAsia="en-US"/>
        </w:rPr>
        <w:t>.</w:t>
      </w:r>
      <w:r w:rsidR="00B772BE">
        <w:rPr>
          <w:rFonts w:eastAsiaTheme="minorHAnsi"/>
          <w:color w:val="000000"/>
          <w:lang w:eastAsia="en-US"/>
        </w:rPr>
        <w:t>5</w:t>
      </w:r>
      <w:r w:rsidR="00FC0EE4" w:rsidRPr="00635693">
        <w:rPr>
          <w:rFonts w:eastAsiaTheme="minorHAnsi"/>
          <w:color w:val="000000"/>
          <w:lang w:eastAsia="en-US"/>
        </w:rPr>
        <w:t xml:space="preserve"> </w:t>
      </w:r>
      <w:r w:rsidR="00FC0EE4" w:rsidRPr="00000801">
        <w:rPr>
          <w:rFonts w:eastAsiaTheme="minorHAnsi"/>
          <w:color w:val="000000"/>
          <w:lang w:eastAsia="en-US"/>
        </w:rPr>
        <w:t>normatīvo aktu prasībām.</w:t>
      </w:r>
    </w:p>
    <w:p w14:paraId="7C58283E" w14:textId="77777777" w:rsidR="00BE66A2" w:rsidRDefault="0099165A" w:rsidP="0099165A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99165A">
        <w:rPr>
          <w:rFonts w:eastAsiaTheme="minorHAnsi"/>
          <w:color w:val="000000"/>
          <w:lang w:eastAsia="en-US"/>
        </w:rPr>
        <w:t>Topogrāfisko informāciju pārbauda, reģistrē vai atsaka reģistrēt Datubāzē 10 darbadienu laikā no</w:t>
      </w:r>
      <w:r w:rsidR="00B37F0C">
        <w:rPr>
          <w:rFonts w:eastAsiaTheme="minorHAnsi"/>
          <w:color w:val="000000"/>
          <w:lang w:eastAsia="en-US"/>
        </w:rPr>
        <w:t xml:space="preserve"> informācijas saņemšanas dienas</w:t>
      </w:r>
      <w:r w:rsidR="00BE66A2">
        <w:rPr>
          <w:rFonts w:eastAsiaTheme="minorHAnsi"/>
          <w:color w:val="000000"/>
          <w:lang w:eastAsia="en-US"/>
        </w:rPr>
        <w:t>.</w:t>
      </w:r>
    </w:p>
    <w:p w14:paraId="239641A8" w14:textId="05F52387" w:rsidR="0099165A" w:rsidRDefault="005C1C17" w:rsidP="0099165A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Atsakot reģistrēt topogrāfisko informāciju Datubāzē, Būvvalde par to </w:t>
      </w:r>
      <w:r w:rsidR="0099165A" w:rsidRPr="0099165A">
        <w:rPr>
          <w:rFonts w:eastAsiaTheme="minorHAnsi"/>
          <w:color w:val="000000"/>
          <w:lang w:eastAsia="en-US"/>
        </w:rPr>
        <w:t>informē iesniedzēju, norādot atteikuma iemeslus.</w:t>
      </w:r>
    </w:p>
    <w:p w14:paraId="44E03A40" w14:textId="7DBF9BF3" w:rsidR="00A413C0" w:rsidRPr="0099165A" w:rsidRDefault="00A413C0" w:rsidP="0099165A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Reģistrējot </w:t>
      </w:r>
      <w:r w:rsidR="005C1C17">
        <w:rPr>
          <w:rFonts w:eastAsiaTheme="minorHAnsi"/>
          <w:color w:val="000000"/>
          <w:lang w:eastAsia="en-US"/>
        </w:rPr>
        <w:t>topogrāfisko informāciju</w:t>
      </w:r>
      <w:r>
        <w:rPr>
          <w:rFonts w:eastAsiaTheme="minorHAnsi"/>
          <w:color w:val="000000"/>
          <w:lang w:eastAsia="en-US"/>
        </w:rPr>
        <w:t xml:space="preserve"> Datubāzē, Būvvalde</w:t>
      </w:r>
      <w:r w:rsidR="006241CB">
        <w:rPr>
          <w:rFonts w:eastAsiaTheme="minorHAnsi"/>
          <w:color w:val="000000"/>
          <w:lang w:eastAsia="en-US"/>
        </w:rPr>
        <w:t>s atbildīgie speciālisti</w:t>
      </w:r>
      <w:r w:rsidR="00E82EB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uz </w:t>
      </w:r>
      <w:r w:rsidR="005C1C17">
        <w:rPr>
          <w:rFonts w:eastAsiaTheme="minorHAnsi"/>
          <w:color w:val="000000"/>
          <w:lang w:eastAsia="en-US"/>
        </w:rPr>
        <w:t xml:space="preserve">topogrāfiskā </w:t>
      </w:r>
      <w:r w:rsidR="0007043F">
        <w:rPr>
          <w:rFonts w:eastAsiaTheme="minorHAnsi"/>
          <w:color w:val="000000"/>
          <w:lang w:eastAsia="en-US"/>
        </w:rPr>
        <w:t xml:space="preserve">plāna </w:t>
      </w:r>
      <w:r w:rsidR="005C1C17">
        <w:rPr>
          <w:rFonts w:eastAsiaTheme="minorHAnsi"/>
          <w:color w:val="000000"/>
          <w:lang w:eastAsia="en-US"/>
        </w:rPr>
        <w:t xml:space="preserve">vai </w:t>
      </w:r>
      <w:proofErr w:type="spellStart"/>
      <w:r w:rsidR="005C1C17">
        <w:rPr>
          <w:rFonts w:eastAsiaTheme="minorHAnsi"/>
          <w:color w:val="000000"/>
          <w:lang w:eastAsia="en-US"/>
        </w:rPr>
        <w:t>izpildmērījuma</w:t>
      </w:r>
      <w:proofErr w:type="spellEnd"/>
      <w:r w:rsidR="005C1C17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plāna izdara atzīmi</w:t>
      </w:r>
      <w:r w:rsidR="006241CB">
        <w:rPr>
          <w:rFonts w:eastAsiaTheme="minorHAnsi"/>
          <w:color w:val="000000"/>
          <w:lang w:eastAsia="en-US"/>
        </w:rPr>
        <w:t xml:space="preserve"> par tā reģistrāciju Datubāzē</w:t>
      </w:r>
      <w:r>
        <w:rPr>
          <w:rFonts w:eastAsiaTheme="minorHAnsi"/>
          <w:color w:val="000000"/>
          <w:lang w:eastAsia="en-US"/>
        </w:rPr>
        <w:t xml:space="preserve">. Reģistrētais </w:t>
      </w:r>
      <w:r w:rsidR="005C1C17">
        <w:rPr>
          <w:rFonts w:eastAsiaTheme="minorHAnsi"/>
          <w:color w:val="000000"/>
          <w:lang w:eastAsia="en-US"/>
        </w:rPr>
        <w:t xml:space="preserve">topogrāfiskais </w:t>
      </w:r>
      <w:r w:rsidR="0007043F">
        <w:rPr>
          <w:rFonts w:eastAsiaTheme="minorHAnsi"/>
          <w:color w:val="000000"/>
          <w:lang w:eastAsia="en-US"/>
        </w:rPr>
        <w:t xml:space="preserve">plāns </w:t>
      </w:r>
      <w:r w:rsidR="005C1C17">
        <w:rPr>
          <w:rFonts w:eastAsiaTheme="minorHAnsi"/>
          <w:color w:val="000000"/>
          <w:lang w:eastAsia="en-US"/>
        </w:rPr>
        <w:t xml:space="preserve">vai </w:t>
      </w:r>
      <w:proofErr w:type="spellStart"/>
      <w:r w:rsidR="005C1C17">
        <w:rPr>
          <w:rFonts w:eastAsiaTheme="minorHAnsi"/>
          <w:color w:val="000000"/>
          <w:lang w:eastAsia="en-US"/>
        </w:rPr>
        <w:t>izpildmērījuma</w:t>
      </w:r>
      <w:proofErr w:type="spellEnd"/>
      <w:r w:rsidR="005C1C17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plāns tiek aizsūtīts iesniedzējam uz viņa </w:t>
      </w:r>
      <w:r w:rsidR="004D3AA0">
        <w:rPr>
          <w:rFonts w:eastAsiaTheme="minorHAnsi"/>
          <w:color w:val="000000"/>
          <w:lang w:eastAsia="en-US"/>
        </w:rPr>
        <w:t xml:space="preserve">norādīto </w:t>
      </w:r>
      <w:r>
        <w:rPr>
          <w:rFonts w:eastAsiaTheme="minorHAnsi"/>
          <w:color w:val="000000"/>
          <w:lang w:eastAsia="en-US"/>
        </w:rPr>
        <w:t>e-pastu</w:t>
      </w:r>
      <w:r w:rsidR="004D3AA0">
        <w:rPr>
          <w:rFonts w:eastAsiaTheme="minorHAnsi"/>
          <w:color w:val="000000"/>
          <w:lang w:eastAsia="en-US"/>
        </w:rPr>
        <w:t>.</w:t>
      </w:r>
    </w:p>
    <w:p w14:paraId="447B147E" w14:textId="77777777" w:rsidR="002F09AA" w:rsidRPr="005D79AA" w:rsidRDefault="00117032" w:rsidP="00117032">
      <w:pPr>
        <w:pStyle w:val="ListParagraph"/>
        <w:numPr>
          <w:ilvl w:val="0"/>
          <w:numId w:val="2"/>
        </w:numPr>
        <w:spacing w:before="240" w:after="240" w:line="240" w:lineRule="auto"/>
        <w:ind w:left="426" w:hanging="371"/>
        <w:contextualSpacing w:val="0"/>
        <w:jc w:val="center"/>
        <w:rPr>
          <w:rFonts w:ascii="Times New Roman Bold" w:hAnsi="Times New Roman Bold" w:cs="Times New Roman"/>
          <w:b/>
          <w:sz w:val="24"/>
          <w:szCs w:val="24"/>
        </w:rPr>
      </w:pPr>
      <w:r w:rsidRPr="005D79AA">
        <w:rPr>
          <w:rFonts w:ascii="Times New Roman Bold" w:hAnsi="Times New Roman Bold" w:cs="Times New Roman"/>
          <w:b/>
          <w:bCs/>
          <w:sz w:val="24"/>
          <w:szCs w:val="24"/>
        </w:rPr>
        <w:t>Maksas pakalpojumi</w:t>
      </w:r>
    </w:p>
    <w:p w14:paraId="40CE10FF" w14:textId="60CEBADB" w:rsidR="00CA4D27" w:rsidRPr="005F28CA" w:rsidRDefault="00775202" w:rsidP="001532D6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Informāciju no </w:t>
      </w:r>
      <w:r w:rsidR="0076687F" w:rsidRPr="005F28CA">
        <w:rPr>
          <w:rFonts w:eastAsiaTheme="minorHAnsi"/>
          <w:color w:val="000000"/>
          <w:lang w:eastAsia="en-US"/>
        </w:rPr>
        <w:t>D</w:t>
      </w:r>
      <w:r w:rsidR="00CA4D27" w:rsidRPr="005F28CA">
        <w:rPr>
          <w:rFonts w:eastAsiaTheme="minorHAnsi"/>
          <w:color w:val="000000"/>
          <w:lang w:eastAsia="en-US"/>
        </w:rPr>
        <w:t xml:space="preserve">atubāzes izsniedz par maksu saskaņā ar </w:t>
      </w:r>
      <w:r w:rsidR="00F16DD5" w:rsidRPr="005F28CA">
        <w:rPr>
          <w:rFonts w:eastAsiaTheme="minorHAnsi"/>
          <w:color w:val="000000"/>
          <w:lang w:eastAsia="en-US"/>
        </w:rPr>
        <w:t xml:space="preserve">šo noteikumu </w:t>
      </w:r>
      <w:r w:rsidR="000B472E" w:rsidRPr="005F28CA">
        <w:rPr>
          <w:rFonts w:eastAsiaTheme="minorHAnsi"/>
          <w:color w:val="000000"/>
          <w:lang w:eastAsia="en-US"/>
        </w:rPr>
        <w:t>pielikumu</w:t>
      </w:r>
      <w:r w:rsidR="004F7C7E" w:rsidRPr="005F28CA">
        <w:rPr>
          <w:rFonts w:eastAsiaTheme="minorHAnsi"/>
          <w:color w:val="000000"/>
          <w:lang w:eastAsia="en-US"/>
        </w:rPr>
        <w:t xml:space="preserve"> “Maksas pakalpojumu cenrādis”</w:t>
      </w:r>
      <w:r w:rsidR="00CA4D27" w:rsidRPr="005F28CA">
        <w:rPr>
          <w:rFonts w:eastAsiaTheme="minorHAnsi"/>
          <w:color w:val="000000"/>
          <w:lang w:eastAsia="en-US"/>
        </w:rPr>
        <w:t xml:space="preserve">. Minimālais izsniedzamais </w:t>
      </w:r>
      <w:r w:rsidR="009574E1">
        <w:rPr>
          <w:rFonts w:eastAsiaTheme="minorHAnsi"/>
          <w:color w:val="000000"/>
          <w:lang w:eastAsia="en-US"/>
        </w:rPr>
        <w:t>topogrāfiskās</w:t>
      </w:r>
      <w:r w:rsidR="009574E1" w:rsidRPr="005F28CA">
        <w:rPr>
          <w:rFonts w:eastAsiaTheme="minorHAnsi"/>
          <w:color w:val="000000"/>
          <w:lang w:eastAsia="en-US"/>
        </w:rPr>
        <w:t xml:space="preserve"> </w:t>
      </w:r>
      <w:r w:rsidR="00CA4D27" w:rsidRPr="005F28CA">
        <w:rPr>
          <w:rFonts w:eastAsiaTheme="minorHAnsi"/>
          <w:color w:val="000000"/>
          <w:lang w:eastAsia="en-US"/>
        </w:rPr>
        <w:t xml:space="preserve">informācijas apjoms no </w:t>
      </w:r>
      <w:r w:rsidR="0076687F" w:rsidRPr="005F28CA">
        <w:rPr>
          <w:rFonts w:eastAsiaTheme="minorHAnsi"/>
          <w:color w:val="000000"/>
          <w:lang w:eastAsia="en-US"/>
        </w:rPr>
        <w:t>D</w:t>
      </w:r>
      <w:r w:rsidR="00CA4D27" w:rsidRPr="005F28CA">
        <w:rPr>
          <w:rFonts w:eastAsiaTheme="minorHAnsi"/>
          <w:color w:val="000000"/>
          <w:lang w:eastAsia="en-US"/>
        </w:rPr>
        <w:t xml:space="preserve">atubāzes ir viena topogrāfiskā planšete, kas atbilst </w:t>
      </w:r>
      <w:r w:rsidR="0020722D">
        <w:rPr>
          <w:rFonts w:eastAsiaTheme="minorHAnsi"/>
          <w:color w:val="000000"/>
          <w:lang w:eastAsia="en-US"/>
        </w:rPr>
        <w:t>valst</w:t>
      </w:r>
      <w:r w:rsidR="001579A1">
        <w:rPr>
          <w:rFonts w:eastAsiaTheme="minorHAnsi"/>
          <w:color w:val="000000"/>
          <w:lang w:eastAsia="en-US"/>
        </w:rPr>
        <w:t>ī noteiktajam</w:t>
      </w:r>
      <w:r w:rsidR="00CA4D27" w:rsidRPr="005F28CA">
        <w:rPr>
          <w:rFonts w:eastAsiaTheme="minorHAnsi"/>
          <w:color w:val="000000"/>
          <w:lang w:eastAsia="en-US"/>
        </w:rPr>
        <w:t xml:space="preserve"> topogrāfisko karšu sistēmas lapu iedalījumam ar mērogu 1:1000. </w:t>
      </w:r>
    </w:p>
    <w:p w14:paraId="3C6EDDB4" w14:textId="70246689" w:rsidR="00CA4D27" w:rsidRPr="005F28CA" w:rsidRDefault="00CA4D27" w:rsidP="001532D6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5F28CA">
        <w:rPr>
          <w:rFonts w:eastAsiaTheme="minorHAnsi"/>
          <w:color w:val="000000"/>
          <w:lang w:eastAsia="en-US"/>
        </w:rPr>
        <w:t xml:space="preserve">Informāciju par </w:t>
      </w:r>
      <w:r w:rsidR="0020722D">
        <w:rPr>
          <w:rFonts w:eastAsiaTheme="minorHAnsi"/>
          <w:color w:val="000000"/>
          <w:lang w:eastAsia="en-US"/>
        </w:rPr>
        <w:t>teritorijā</w:t>
      </w:r>
      <w:r w:rsidRPr="005F28CA">
        <w:rPr>
          <w:rFonts w:eastAsiaTheme="minorHAnsi"/>
          <w:color w:val="000000"/>
          <w:lang w:eastAsia="en-US"/>
        </w:rPr>
        <w:t xml:space="preserve"> esošajiem vietējiem ģeodēziskā tīkla punktiem par maksu izsniedz Būvvalde saskaņā ar </w:t>
      </w:r>
      <w:r w:rsidR="00F16DD5" w:rsidRPr="005F28CA">
        <w:rPr>
          <w:rFonts w:eastAsiaTheme="minorHAnsi"/>
          <w:color w:val="000000"/>
          <w:lang w:eastAsia="en-US"/>
        </w:rPr>
        <w:t xml:space="preserve">šo noteikumu </w:t>
      </w:r>
      <w:r w:rsidR="00764601" w:rsidRPr="005F28CA">
        <w:rPr>
          <w:rFonts w:eastAsiaTheme="minorHAnsi"/>
          <w:color w:val="000000"/>
          <w:lang w:eastAsia="en-US"/>
        </w:rPr>
        <w:t>pielikumu</w:t>
      </w:r>
      <w:r w:rsidR="004F7C7E" w:rsidRPr="005F28CA">
        <w:rPr>
          <w:rFonts w:eastAsiaTheme="minorHAnsi"/>
          <w:color w:val="000000"/>
          <w:lang w:eastAsia="en-US"/>
        </w:rPr>
        <w:t xml:space="preserve"> “Maksas pakalpojumu cenrādis”.</w:t>
      </w:r>
    </w:p>
    <w:p w14:paraId="7FFA5D48" w14:textId="77777777" w:rsidR="00CA4D27" w:rsidRPr="005D79AA" w:rsidRDefault="00CA4D27" w:rsidP="00CA4D27">
      <w:pPr>
        <w:pStyle w:val="ListParagraph"/>
        <w:numPr>
          <w:ilvl w:val="0"/>
          <w:numId w:val="2"/>
        </w:numPr>
        <w:spacing w:before="240" w:after="240" w:line="240" w:lineRule="auto"/>
        <w:ind w:left="426" w:hanging="371"/>
        <w:contextualSpacing w:val="0"/>
        <w:jc w:val="center"/>
        <w:rPr>
          <w:rFonts w:ascii="Times New Roman Bold" w:hAnsi="Times New Roman Bold" w:cs="Times New Roman"/>
          <w:b/>
          <w:sz w:val="24"/>
          <w:szCs w:val="24"/>
        </w:rPr>
      </w:pPr>
      <w:r w:rsidRPr="005D79AA">
        <w:rPr>
          <w:rFonts w:ascii="Times New Roman Bold" w:hAnsi="Times New Roman Bold" w:cs="Times New Roman"/>
          <w:b/>
          <w:bCs/>
          <w:sz w:val="24"/>
          <w:szCs w:val="24"/>
        </w:rPr>
        <w:t>Noslēguma jautājum</w:t>
      </w:r>
      <w:r w:rsidR="002E139F" w:rsidRPr="005D79AA">
        <w:rPr>
          <w:rFonts w:ascii="Times New Roman Bold" w:hAnsi="Times New Roman Bold" w:cs="Times New Roman"/>
          <w:b/>
          <w:bCs/>
          <w:sz w:val="24"/>
          <w:szCs w:val="24"/>
        </w:rPr>
        <w:t>s</w:t>
      </w:r>
    </w:p>
    <w:p w14:paraId="42D99FF2" w14:textId="75E3427E" w:rsidR="00CA4D27" w:rsidRPr="00CB6F68" w:rsidRDefault="000B472E" w:rsidP="001532D6">
      <w:pPr>
        <w:numPr>
          <w:ilvl w:val="0"/>
          <w:numId w:val="1"/>
        </w:numPr>
        <w:spacing w:before="120" w:after="120"/>
        <w:ind w:left="283" w:hanging="357"/>
        <w:jc w:val="both"/>
        <w:rPr>
          <w:rFonts w:eastAsiaTheme="minorHAnsi"/>
          <w:color w:val="000000"/>
          <w:lang w:eastAsia="en-US"/>
        </w:rPr>
      </w:pPr>
      <w:r w:rsidRPr="00CB6F68">
        <w:rPr>
          <w:rFonts w:eastAsiaTheme="minorHAnsi"/>
          <w:color w:val="000000"/>
          <w:lang w:eastAsia="en-US"/>
        </w:rPr>
        <w:t>Atzīt par spēku zaudējušiem Jelgavas pilsētas pašvaldības 2010.</w:t>
      </w:r>
      <w:r w:rsidR="005F28CA" w:rsidRPr="00CB6F68">
        <w:rPr>
          <w:rFonts w:eastAsiaTheme="minorHAnsi"/>
          <w:color w:val="000000"/>
          <w:lang w:eastAsia="en-US"/>
        </w:rPr>
        <w:t> </w:t>
      </w:r>
      <w:r w:rsidRPr="00CB6F68">
        <w:rPr>
          <w:rFonts w:eastAsiaTheme="minorHAnsi"/>
          <w:color w:val="000000"/>
          <w:lang w:eastAsia="en-US"/>
        </w:rPr>
        <w:t>gada 23.</w:t>
      </w:r>
      <w:r w:rsidR="005F28CA" w:rsidRPr="00CB6F68">
        <w:rPr>
          <w:rFonts w:eastAsiaTheme="minorHAnsi"/>
          <w:color w:val="000000"/>
          <w:lang w:eastAsia="en-US"/>
        </w:rPr>
        <w:t> </w:t>
      </w:r>
      <w:r w:rsidRPr="00CB6F68">
        <w:rPr>
          <w:rFonts w:eastAsiaTheme="minorHAnsi"/>
          <w:color w:val="000000"/>
          <w:lang w:eastAsia="en-US"/>
        </w:rPr>
        <w:t xml:space="preserve">septembra  saistošos noteikumus Nr.10-16 "Ģeotelpiskās informācijas apstrādes un ģeodēziskās darbības kārtība Jelgavas pilsētā " (Latvijas Vēstnesis, 2010, </w:t>
      </w:r>
      <w:r w:rsidR="007209B3" w:rsidRPr="00CB6F68">
        <w:rPr>
          <w:rFonts w:eastAsiaTheme="minorHAnsi"/>
          <w:color w:val="000000"/>
          <w:lang w:eastAsia="en-US"/>
        </w:rPr>
        <w:t>Nr.</w:t>
      </w:r>
      <w:r w:rsidRPr="00CB6F68">
        <w:rPr>
          <w:rFonts w:eastAsiaTheme="minorHAnsi"/>
          <w:color w:val="000000"/>
          <w:lang w:eastAsia="en-US"/>
        </w:rPr>
        <w:t>163</w:t>
      </w:r>
      <w:r w:rsidR="007209B3" w:rsidRPr="00CB6F68">
        <w:rPr>
          <w:rFonts w:eastAsiaTheme="minorHAnsi"/>
          <w:color w:val="000000"/>
          <w:lang w:eastAsia="en-US"/>
        </w:rPr>
        <w:t>; 2011, Nr.35; 2013, Nr.200</w:t>
      </w:r>
      <w:r w:rsidRPr="00CB6F68">
        <w:rPr>
          <w:rFonts w:eastAsiaTheme="minorHAnsi"/>
          <w:color w:val="000000"/>
          <w:lang w:eastAsia="en-US"/>
        </w:rPr>
        <w:t>).</w:t>
      </w:r>
    </w:p>
    <w:p w14:paraId="31D9EC71" w14:textId="77777777" w:rsidR="00845283" w:rsidRDefault="00845283" w:rsidP="00845283"/>
    <w:p w14:paraId="056416D8" w14:textId="77777777" w:rsidR="007A634E" w:rsidRPr="00060CFB" w:rsidRDefault="007A634E" w:rsidP="00845283"/>
    <w:p w14:paraId="7CBC0859" w14:textId="77777777" w:rsidR="00BC2B9B" w:rsidRPr="00060CFB" w:rsidRDefault="00A523BE">
      <w:r w:rsidRPr="00060CFB">
        <w:t>Jelgavas pilsētas domes priekšsēdētājs</w:t>
      </w:r>
      <w:r w:rsidRPr="00060CFB">
        <w:tab/>
      </w:r>
      <w:r w:rsidRPr="00060CFB">
        <w:tab/>
      </w:r>
      <w:r w:rsidRPr="00060CFB">
        <w:tab/>
      </w:r>
      <w:r w:rsidRPr="00060CFB">
        <w:tab/>
      </w:r>
      <w:r w:rsidRPr="00060CFB">
        <w:tab/>
      </w:r>
      <w:r w:rsidRPr="00060CFB">
        <w:tab/>
        <w:t>A.Rāviņš</w:t>
      </w:r>
    </w:p>
    <w:p w14:paraId="54994700" w14:textId="77777777" w:rsidR="009C07D2" w:rsidRDefault="009C07D2" w:rsidP="00BC2B9B">
      <w:pPr>
        <w:jc w:val="right"/>
        <w:rPr>
          <w:sz w:val="22"/>
          <w:szCs w:val="22"/>
        </w:rPr>
      </w:pPr>
    </w:p>
    <w:p w14:paraId="4F881C68" w14:textId="59EFF13D" w:rsidR="00DE04C2" w:rsidRDefault="00C64E70" w:rsidP="00550C9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E04C2">
        <w:rPr>
          <w:sz w:val="22"/>
          <w:szCs w:val="22"/>
        </w:rPr>
        <w:lastRenderedPageBreak/>
        <w:t>P</w:t>
      </w:r>
      <w:r w:rsidR="00DE04C2" w:rsidRPr="00060CFB">
        <w:rPr>
          <w:sz w:val="22"/>
          <w:szCs w:val="22"/>
        </w:rPr>
        <w:t>ielikums</w:t>
      </w:r>
    </w:p>
    <w:p w14:paraId="679D8915" w14:textId="34CC4EA6" w:rsidR="00BC2B9B" w:rsidRPr="00060CFB" w:rsidRDefault="001C59DA" w:rsidP="00BC2B9B">
      <w:pPr>
        <w:jc w:val="right"/>
        <w:rPr>
          <w:sz w:val="22"/>
          <w:szCs w:val="22"/>
        </w:rPr>
      </w:pPr>
      <w:r>
        <w:rPr>
          <w:sz w:val="22"/>
          <w:szCs w:val="22"/>
        </w:rPr>
        <w:t>Jelgavas pilsētas pašvaldības</w:t>
      </w:r>
    </w:p>
    <w:p w14:paraId="21A0E331" w14:textId="342E3CE2" w:rsidR="00BC2B9B" w:rsidRPr="00060CFB" w:rsidRDefault="00332083" w:rsidP="00BC2B9B">
      <w:pPr>
        <w:jc w:val="right"/>
        <w:rPr>
          <w:sz w:val="22"/>
          <w:szCs w:val="22"/>
        </w:rPr>
      </w:pPr>
      <w:r w:rsidRPr="00060CFB">
        <w:rPr>
          <w:sz w:val="22"/>
          <w:szCs w:val="22"/>
        </w:rPr>
        <w:t>2020.</w:t>
      </w:r>
      <w:r w:rsidR="00C81495">
        <w:rPr>
          <w:sz w:val="22"/>
          <w:szCs w:val="22"/>
        </w:rPr>
        <w:t> </w:t>
      </w:r>
      <w:r w:rsidRPr="00060CFB">
        <w:rPr>
          <w:sz w:val="22"/>
          <w:szCs w:val="22"/>
        </w:rPr>
        <w:t xml:space="preserve">gada </w:t>
      </w:r>
      <w:r w:rsidR="0007043F">
        <w:rPr>
          <w:sz w:val="22"/>
          <w:szCs w:val="22"/>
        </w:rPr>
        <w:t>24</w:t>
      </w:r>
      <w:r w:rsidR="00BC2B9B" w:rsidRPr="00060CFB">
        <w:rPr>
          <w:sz w:val="22"/>
          <w:szCs w:val="22"/>
        </w:rPr>
        <w:t>.</w:t>
      </w:r>
      <w:r w:rsidR="00BC5D74">
        <w:rPr>
          <w:sz w:val="22"/>
          <w:szCs w:val="22"/>
        </w:rPr>
        <w:t>septembra</w:t>
      </w:r>
      <w:r w:rsidR="00BC2B9B" w:rsidRPr="00060CFB">
        <w:rPr>
          <w:sz w:val="22"/>
          <w:szCs w:val="22"/>
        </w:rPr>
        <w:t xml:space="preserve"> saistoš</w:t>
      </w:r>
      <w:r w:rsidR="00E33A48">
        <w:rPr>
          <w:sz w:val="22"/>
          <w:szCs w:val="22"/>
        </w:rPr>
        <w:t>ajiem</w:t>
      </w:r>
      <w:r w:rsidR="00BC2B9B" w:rsidRPr="00060CFB">
        <w:rPr>
          <w:sz w:val="22"/>
          <w:szCs w:val="22"/>
        </w:rPr>
        <w:t xml:space="preserve"> noteikum</w:t>
      </w:r>
      <w:r w:rsidR="00E33A48">
        <w:rPr>
          <w:sz w:val="22"/>
          <w:szCs w:val="22"/>
        </w:rPr>
        <w:t>iem</w:t>
      </w:r>
      <w:r w:rsidR="00BC2B9B" w:rsidRPr="00060CFB">
        <w:rPr>
          <w:sz w:val="22"/>
          <w:szCs w:val="22"/>
        </w:rPr>
        <w:t xml:space="preserve"> Nr.</w:t>
      </w:r>
      <w:r w:rsidR="00385E63">
        <w:rPr>
          <w:sz w:val="22"/>
          <w:szCs w:val="22"/>
        </w:rPr>
        <w:t>20-31</w:t>
      </w:r>
      <w:bookmarkStart w:id="1" w:name="_GoBack"/>
      <w:bookmarkEnd w:id="1"/>
    </w:p>
    <w:p w14:paraId="7868FE43" w14:textId="44D4A8E6" w:rsidR="00BC2B9B" w:rsidRDefault="00BC2B9B" w:rsidP="009337C7">
      <w:pPr>
        <w:jc w:val="right"/>
        <w:rPr>
          <w:sz w:val="22"/>
          <w:szCs w:val="22"/>
        </w:rPr>
      </w:pPr>
      <w:r w:rsidRPr="00060CFB">
        <w:rPr>
          <w:sz w:val="22"/>
          <w:szCs w:val="22"/>
        </w:rPr>
        <w:t>“</w:t>
      </w:r>
      <w:r w:rsidR="009337C7" w:rsidRPr="009337C7">
        <w:rPr>
          <w:sz w:val="22"/>
          <w:szCs w:val="22"/>
        </w:rPr>
        <w:t xml:space="preserve">Par </w:t>
      </w:r>
      <w:r w:rsidR="00E97CC2">
        <w:rPr>
          <w:sz w:val="22"/>
          <w:szCs w:val="22"/>
        </w:rPr>
        <w:t xml:space="preserve">augstas detalizācijas </w:t>
      </w:r>
      <w:r w:rsidR="0007066C">
        <w:rPr>
          <w:sz w:val="22"/>
          <w:szCs w:val="22"/>
        </w:rPr>
        <w:t>topogrāfiskās informācijas</w:t>
      </w:r>
      <w:r w:rsidR="009337C7" w:rsidRPr="009337C7">
        <w:rPr>
          <w:sz w:val="22"/>
          <w:szCs w:val="22"/>
        </w:rPr>
        <w:t xml:space="preserve"> </w:t>
      </w:r>
      <w:r w:rsidR="00E97CC2">
        <w:rPr>
          <w:sz w:val="22"/>
          <w:szCs w:val="22"/>
        </w:rPr>
        <w:t xml:space="preserve">aprites kārtību </w:t>
      </w:r>
      <w:r w:rsidR="00BC5D74">
        <w:rPr>
          <w:sz w:val="22"/>
          <w:szCs w:val="22"/>
        </w:rPr>
        <w:t>Je</w:t>
      </w:r>
      <w:r w:rsidR="00BC5D74" w:rsidRPr="009337C7">
        <w:rPr>
          <w:sz w:val="22"/>
          <w:szCs w:val="22"/>
        </w:rPr>
        <w:t>lgavas</w:t>
      </w:r>
      <w:r w:rsidR="009337C7" w:rsidRPr="009337C7">
        <w:rPr>
          <w:sz w:val="22"/>
          <w:szCs w:val="22"/>
        </w:rPr>
        <w:t xml:space="preserve"> pilsētā</w:t>
      </w:r>
      <w:r w:rsidR="009E12D9">
        <w:rPr>
          <w:sz w:val="22"/>
          <w:szCs w:val="22"/>
        </w:rPr>
        <w:t>”</w:t>
      </w:r>
    </w:p>
    <w:p w14:paraId="681877AE" w14:textId="77777777" w:rsidR="009D3E81" w:rsidRPr="00060CFB" w:rsidRDefault="009D3E81" w:rsidP="009E12D9">
      <w:pPr>
        <w:ind w:left="3686"/>
        <w:jc w:val="right"/>
        <w:rPr>
          <w:sz w:val="22"/>
          <w:szCs w:val="22"/>
        </w:rPr>
      </w:pPr>
    </w:p>
    <w:p w14:paraId="6C39EA1A" w14:textId="3DF56533" w:rsidR="00BC2B9B" w:rsidRPr="00060CFB" w:rsidRDefault="00BC2B9B" w:rsidP="00BC2B9B">
      <w:pPr>
        <w:jc w:val="right"/>
        <w:rPr>
          <w:sz w:val="22"/>
          <w:szCs w:val="22"/>
        </w:rPr>
      </w:pPr>
    </w:p>
    <w:p w14:paraId="1CCAB36B" w14:textId="79E74214" w:rsidR="00FD5F8B" w:rsidRDefault="00F16DD5" w:rsidP="00F16DD5">
      <w:pPr>
        <w:pStyle w:val="ListParagraph"/>
        <w:tabs>
          <w:tab w:val="left" w:pos="1935"/>
        </w:tabs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Maksas pakalpojumu cenrādis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4793"/>
        <w:gridCol w:w="1404"/>
        <w:gridCol w:w="1789"/>
      </w:tblGrid>
      <w:tr w:rsidR="00FD5F8B" w:rsidRPr="00CA4D27" w14:paraId="4B89EC1A" w14:textId="77777777" w:rsidTr="005A13A0">
        <w:tc>
          <w:tcPr>
            <w:tcW w:w="844" w:type="dxa"/>
            <w:vAlign w:val="center"/>
          </w:tcPr>
          <w:p w14:paraId="2751DF86" w14:textId="77777777" w:rsidR="00FD5F8B" w:rsidRPr="005A13A0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3A0">
              <w:rPr>
                <w:rFonts w:ascii="Times New Roman" w:hAnsi="Times New Roman" w:cs="Times New Roman"/>
                <w:b/>
                <w:color w:val="000000"/>
              </w:rPr>
              <w:t>Nr.p.k</w:t>
            </w:r>
          </w:p>
        </w:tc>
        <w:tc>
          <w:tcPr>
            <w:tcW w:w="4793" w:type="dxa"/>
            <w:vAlign w:val="center"/>
          </w:tcPr>
          <w:p w14:paraId="0AF8CE62" w14:textId="77777777" w:rsidR="00FD5F8B" w:rsidRPr="005A13A0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3A0">
              <w:rPr>
                <w:rFonts w:ascii="Times New Roman" w:hAnsi="Times New Roman" w:cs="Times New Roman"/>
                <w:b/>
                <w:color w:val="000000"/>
              </w:rPr>
              <w:t>Pakalpojuma veids</w:t>
            </w:r>
          </w:p>
        </w:tc>
        <w:tc>
          <w:tcPr>
            <w:tcW w:w="1404" w:type="dxa"/>
            <w:vAlign w:val="center"/>
          </w:tcPr>
          <w:p w14:paraId="061229A5" w14:textId="77777777" w:rsidR="00FD5F8B" w:rsidRPr="005A13A0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3A0">
              <w:rPr>
                <w:rFonts w:ascii="Times New Roman" w:hAnsi="Times New Roman" w:cs="Times New Roman"/>
                <w:b/>
                <w:color w:val="000000"/>
              </w:rPr>
              <w:t>Mērvienība</w:t>
            </w:r>
          </w:p>
        </w:tc>
        <w:tc>
          <w:tcPr>
            <w:tcW w:w="1789" w:type="dxa"/>
            <w:vAlign w:val="center"/>
          </w:tcPr>
          <w:p w14:paraId="01D46095" w14:textId="77777777" w:rsidR="00FD5F8B" w:rsidRPr="005A13A0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3A0">
              <w:rPr>
                <w:rFonts w:ascii="Times New Roman" w:hAnsi="Times New Roman" w:cs="Times New Roman"/>
                <w:b/>
                <w:color w:val="000000"/>
              </w:rPr>
              <w:t xml:space="preserve">Maksa bez PVN </w:t>
            </w:r>
            <w:r w:rsidRPr="005A13A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euro</w:t>
            </w:r>
          </w:p>
        </w:tc>
      </w:tr>
      <w:tr w:rsidR="00FD5F8B" w:rsidRPr="00CA4D27" w14:paraId="44F31049" w14:textId="77777777" w:rsidTr="005A13A0">
        <w:tc>
          <w:tcPr>
            <w:tcW w:w="844" w:type="dxa"/>
            <w:vAlign w:val="center"/>
          </w:tcPr>
          <w:p w14:paraId="05336F3A" w14:textId="64990B24" w:rsidR="00FD5F8B" w:rsidRPr="005A13A0" w:rsidRDefault="00FD5F8B" w:rsidP="005A13A0">
            <w:pPr>
              <w:pStyle w:val="ListParagraph"/>
              <w:numPr>
                <w:ilvl w:val="0"/>
                <w:numId w:val="8"/>
              </w:num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14:paraId="213EBD05" w14:textId="19BE537C" w:rsidR="00FD5F8B" w:rsidRPr="00CA4D27" w:rsidRDefault="00FD5F8B" w:rsidP="00650928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In</w:t>
            </w:r>
            <w:r w:rsidR="0076687F">
              <w:rPr>
                <w:rFonts w:ascii="Times New Roman" w:hAnsi="Times New Roman" w:cs="Times New Roman"/>
                <w:color w:val="000000"/>
              </w:rPr>
              <w:t>formācijas izsniegšana no D</w:t>
            </w:r>
            <w:r w:rsidRPr="00CA4D27">
              <w:rPr>
                <w:rFonts w:ascii="Times New Roman" w:hAnsi="Times New Roman" w:cs="Times New Roman"/>
                <w:color w:val="000000"/>
              </w:rPr>
              <w:t>atubāzes uz saņēmēja norādīto elektronisko pastu</w:t>
            </w:r>
          </w:p>
        </w:tc>
        <w:tc>
          <w:tcPr>
            <w:tcW w:w="1404" w:type="dxa"/>
            <w:vAlign w:val="center"/>
          </w:tcPr>
          <w:p w14:paraId="7EE61E16" w14:textId="77777777" w:rsidR="00FD5F8B" w:rsidRPr="00CA4D27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1 planšete</w:t>
            </w:r>
          </w:p>
        </w:tc>
        <w:tc>
          <w:tcPr>
            <w:tcW w:w="1789" w:type="dxa"/>
            <w:vAlign w:val="center"/>
          </w:tcPr>
          <w:p w14:paraId="5D1D37D0" w14:textId="77777777" w:rsidR="00FD5F8B" w:rsidRPr="00CA4D27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FD5F8B" w:rsidRPr="00CA4D27" w14:paraId="08507788" w14:textId="77777777" w:rsidTr="005A13A0">
        <w:tc>
          <w:tcPr>
            <w:tcW w:w="844" w:type="dxa"/>
            <w:vAlign w:val="center"/>
          </w:tcPr>
          <w:p w14:paraId="3BC4A5AC" w14:textId="6FF29C55" w:rsidR="00FD5F8B" w:rsidRPr="005A13A0" w:rsidRDefault="00FD5F8B" w:rsidP="005A13A0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14:paraId="02149992" w14:textId="77777777" w:rsidR="00FD5F8B" w:rsidRPr="00CA4D27" w:rsidRDefault="00FD5F8B" w:rsidP="00650928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Par vietējā ģeodēziskā punkta ģeotelpiskās informācijas izsniegšanu uz saņēmēja elektronisko pastu</w:t>
            </w:r>
          </w:p>
        </w:tc>
        <w:tc>
          <w:tcPr>
            <w:tcW w:w="1404" w:type="dxa"/>
            <w:vAlign w:val="center"/>
          </w:tcPr>
          <w:p w14:paraId="6B542099" w14:textId="77777777" w:rsidR="00FD5F8B" w:rsidRPr="00CA4D27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1 punkts</w:t>
            </w:r>
          </w:p>
        </w:tc>
        <w:tc>
          <w:tcPr>
            <w:tcW w:w="1789" w:type="dxa"/>
            <w:vAlign w:val="center"/>
          </w:tcPr>
          <w:p w14:paraId="15736E05" w14:textId="77777777" w:rsidR="00FD5F8B" w:rsidRPr="00CA4D27" w:rsidRDefault="00FD5F8B" w:rsidP="005A13A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D27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</w:tr>
    </w:tbl>
    <w:p w14:paraId="58BE2FE3" w14:textId="77777777" w:rsidR="00845283" w:rsidRPr="00060CFB" w:rsidRDefault="00845283" w:rsidP="00845283"/>
    <w:p w14:paraId="134005D6" w14:textId="77777777" w:rsidR="00845283" w:rsidRPr="00060CFB" w:rsidRDefault="00845283" w:rsidP="00845283"/>
    <w:p w14:paraId="1A2CAB93" w14:textId="77777777" w:rsidR="00845283" w:rsidRPr="00060CFB" w:rsidRDefault="00845283" w:rsidP="00845283"/>
    <w:p w14:paraId="3EBEEF28" w14:textId="77777777" w:rsidR="00845283" w:rsidRPr="00060CFB" w:rsidRDefault="00845283" w:rsidP="00845283"/>
    <w:p w14:paraId="3DE9B9AF" w14:textId="77777777" w:rsidR="00A523BE" w:rsidRPr="00060CFB" w:rsidRDefault="00A523BE" w:rsidP="00A523BE">
      <w:r w:rsidRPr="00060CFB">
        <w:t>Jelgavas pilsētas domes priekšsēdētājs</w:t>
      </w:r>
      <w:r w:rsidRPr="00060CFB">
        <w:tab/>
      </w:r>
      <w:r w:rsidRPr="00060CFB">
        <w:tab/>
      </w:r>
      <w:r w:rsidRPr="00060CFB">
        <w:tab/>
      </w:r>
      <w:r w:rsidRPr="00060CFB">
        <w:tab/>
      </w:r>
      <w:r w:rsidRPr="00060CFB">
        <w:tab/>
      </w:r>
      <w:r w:rsidRPr="00060CFB">
        <w:tab/>
        <w:t>A.Rāviņš</w:t>
      </w:r>
    </w:p>
    <w:p w14:paraId="4A85347B" w14:textId="77777777" w:rsidR="00845283" w:rsidRPr="00060CFB" w:rsidRDefault="00845283" w:rsidP="00845283"/>
    <w:p w14:paraId="733B3E94" w14:textId="77777777" w:rsidR="00845283" w:rsidRPr="00060CFB" w:rsidRDefault="00845283" w:rsidP="00845283"/>
    <w:p w14:paraId="42DCA32F" w14:textId="77777777" w:rsidR="00845283" w:rsidRPr="00060CFB" w:rsidRDefault="00845283" w:rsidP="00845283"/>
    <w:p w14:paraId="256D1FD0" w14:textId="550CD371" w:rsidR="00845283" w:rsidRPr="00060CFB" w:rsidRDefault="00845283" w:rsidP="00845283"/>
    <w:sectPr w:rsidR="00845283" w:rsidRPr="00060CFB" w:rsidSect="005A13A0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7F4E" w14:textId="77777777" w:rsidR="00B27666" w:rsidRDefault="00B27666">
      <w:r>
        <w:separator/>
      </w:r>
    </w:p>
  </w:endnote>
  <w:endnote w:type="continuationSeparator" w:id="0">
    <w:p w14:paraId="3461E24C" w14:textId="77777777" w:rsidR="00B27666" w:rsidRDefault="00B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6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6FB2" w14:textId="77777777" w:rsidR="00456A13" w:rsidRDefault="00456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B61C1" w14:textId="77777777" w:rsidR="00B27666" w:rsidRDefault="00B27666">
      <w:r>
        <w:separator/>
      </w:r>
    </w:p>
  </w:footnote>
  <w:footnote w:type="continuationSeparator" w:id="0">
    <w:p w14:paraId="2D5A6099" w14:textId="77777777" w:rsidR="00B27666" w:rsidRDefault="00B2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C809" w14:textId="77777777" w:rsidR="005F450A" w:rsidRPr="00AE0FFD" w:rsidRDefault="0084528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3BD40" wp14:editId="57E01AE9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5549B" w14:textId="77777777" w:rsidR="005F450A" w:rsidRDefault="008452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121D9C" wp14:editId="7A06C023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yNgQ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" stroked="f">
              <v:textbox>
                <w:txbxContent>
                  <w:p w14:paraId="4B75549B" w14:textId="77777777" w:rsidR="005F450A" w:rsidRDefault="008452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121D9C" wp14:editId="7A06C023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7813B484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27013573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46C3C3D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774FEA97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4FE79B90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0347D522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A4E"/>
    <w:multiLevelType w:val="hybridMultilevel"/>
    <w:tmpl w:val="3E583C80"/>
    <w:lvl w:ilvl="0" w:tplc="8B2A53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697"/>
    <w:multiLevelType w:val="hybridMultilevel"/>
    <w:tmpl w:val="4BBA80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53D6"/>
    <w:multiLevelType w:val="hybridMultilevel"/>
    <w:tmpl w:val="E9FE45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EA8"/>
    <w:multiLevelType w:val="multilevel"/>
    <w:tmpl w:val="B63A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46C52D5"/>
    <w:multiLevelType w:val="multilevel"/>
    <w:tmpl w:val="B63A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9D1427C"/>
    <w:multiLevelType w:val="multilevel"/>
    <w:tmpl w:val="8174AD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47E26DE6"/>
    <w:multiLevelType w:val="multilevel"/>
    <w:tmpl w:val="B63A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9632A11"/>
    <w:multiLevelType w:val="hybridMultilevel"/>
    <w:tmpl w:val="B37419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C59D5"/>
    <w:multiLevelType w:val="hybridMultilevel"/>
    <w:tmpl w:val="5FD62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830CD"/>
    <w:multiLevelType w:val="multilevel"/>
    <w:tmpl w:val="BB4827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801"/>
    <w:rsid w:val="000026B6"/>
    <w:rsid w:val="000031D2"/>
    <w:rsid w:val="0001140A"/>
    <w:rsid w:val="00011D7D"/>
    <w:rsid w:val="0001348A"/>
    <w:rsid w:val="00020BDA"/>
    <w:rsid w:val="00021DDE"/>
    <w:rsid w:val="000247DC"/>
    <w:rsid w:val="00030783"/>
    <w:rsid w:val="000308AD"/>
    <w:rsid w:val="00032D90"/>
    <w:rsid w:val="0003371E"/>
    <w:rsid w:val="000359AD"/>
    <w:rsid w:val="00040B6D"/>
    <w:rsid w:val="00040F12"/>
    <w:rsid w:val="0004460C"/>
    <w:rsid w:val="0004726C"/>
    <w:rsid w:val="00051EE3"/>
    <w:rsid w:val="000546ED"/>
    <w:rsid w:val="00054B4E"/>
    <w:rsid w:val="00060CFB"/>
    <w:rsid w:val="00064CF7"/>
    <w:rsid w:val="0007043F"/>
    <w:rsid w:val="0007066C"/>
    <w:rsid w:val="000946DB"/>
    <w:rsid w:val="00095343"/>
    <w:rsid w:val="00095C17"/>
    <w:rsid w:val="000A1B8C"/>
    <w:rsid w:val="000A21F2"/>
    <w:rsid w:val="000A5CA9"/>
    <w:rsid w:val="000A68F5"/>
    <w:rsid w:val="000B3019"/>
    <w:rsid w:val="000B472E"/>
    <w:rsid w:val="000B48EA"/>
    <w:rsid w:val="000C05A4"/>
    <w:rsid w:val="000C65FE"/>
    <w:rsid w:val="000D01C1"/>
    <w:rsid w:val="000D125B"/>
    <w:rsid w:val="000D2850"/>
    <w:rsid w:val="000D3294"/>
    <w:rsid w:val="000D3604"/>
    <w:rsid w:val="000D713B"/>
    <w:rsid w:val="000D777D"/>
    <w:rsid w:val="000E0E7E"/>
    <w:rsid w:val="000E7210"/>
    <w:rsid w:val="000F06C9"/>
    <w:rsid w:val="000F2952"/>
    <w:rsid w:val="000F3074"/>
    <w:rsid w:val="000F58A4"/>
    <w:rsid w:val="00103997"/>
    <w:rsid w:val="00104EB0"/>
    <w:rsid w:val="001079F3"/>
    <w:rsid w:val="0011031F"/>
    <w:rsid w:val="00111AD1"/>
    <w:rsid w:val="00113527"/>
    <w:rsid w:val="00117032"/>
    <w:rsid w:val="001177C1"/>
    <w:rsid w:val="00122237"/>
    <w:rsid w:val="00122A97"/>
    <w:rsid w:val="00140389"/>
    <w:rsid w:val="00146AF0"/>
    <w:rsid w:val="00147064"/>
    <w:rsid w:val="00152658"/>
    <w:rsid w:val="001532D6"/>
    <w:rsid w:val="00154B73"/>
    <w:rsid w:val="00156373"/>
    <w:rsid w:val="001570CA"/>
    <w:rsid w:val="001579A1"/>
    <w:rsid w:val="001618CA"/>
    <w:rsid w:val="001618EF"/>
    <w:rsid w:val="00167669"/>
    <w:rsid w:val="00167F75"/>
    <w:rsid w:val="0017687F"/>
    <w:rsid w:val="00182448"/>
    <w:rsid w:val="0018676D"/>
    <w:rsid w:val="001921B7"/>
    <w:rsid w:val="0019536B"/>
    <w:rsid w:val="00196D35"/>
    <w:rsid w:val="001A40D9"/>
    <w:rsid w:val="001A7689"/>
    <w:rsid w:val="001A7830"/>
    <w:rsid w:val="001B1E0F"/>
    <w:rsid w:val="001B2350"/>
    <w:rsid w:val="001B388B"/>
    <w:rsid w:val="001B500F"/>
    <w:rsid w:val="001B5D61"/>
    <w:rsid w:val="001C0B80"/>
    <w:rsid w:val="001C33A4"/>
    <w:rsid w:val="001C46A9"/>
    <w:rsid w:val="001C4A44"/>
    <w:rsid w:val="001C59DA"/>
    <w:rsid w:val="001C6543"/>
    <w:rsid w:val="001D1557"/>
    <w:rsid w:val="001D2A75"/>
    <w:rsid w:val="001D78D4"/>
    <w:rsid w:val="001E5102"/>
    <w:rsid w:val="001E6083"/>
    <w:rsid w:val="001E6F25"/>
    <w:rsid w:val="001E719B"/>
    <w:rsid w:val="001F078A"/>
    <w:rsid w:val="001F2810"/>
    <w:rsid w:val="001F3E01"/>
    <w:rsid w:val="001F5567"/>
    <w:rsid w:val="00202B87"/>
    <w:rsid w:val="0020722D"/>
    <w:rsid w:val="002129B7"/>
    <w:rsid w:val="00217CFD"/>
    <w:rsid w:val="00224210"/>
    <w:rsid w:val="00225CEF"/>
    <w:rsid w:val="00230AEC"/>
    <w:rsid w:val="002332D0"/>
    <w:rsid w:val="00233743"/>
    <w:rsid w:val="00233B24"/>
    <w:rsid w:val="00234525"/>
    <w:rsid w:val="00234A64"/>
    <w:rsid w:val="0023546F"/>
    <w:rsid w:val="0024352D"/>
    <w:rsid w:val="002461EA"/>
    <w:rsid w:val="002620B0"/>
    <w:rsid w:val="00262F9A"/>
    <w:rsid w:val="00265FCA"/>
    <w:rsid w:val="0026665E"/>
    <w:rsid w:val="00273532"/>
    <w:rsid w:val="00284121"/>
    <w:rsid w:val="00284BBC"/>
    <w:rsid w:val="002850B3"/>
    <w:rsid w:val="002A436B"/>
    <w:rsid w:val="002B2B0A"/>
    <w:rsid w:val="002B449E"/>
    <w:rsid w:val="002C07FD"/>
    <w:rsid w:val="002C0842"/>
    <w:rsid w:val="002C2D86"/>
    <w:rsid w:val="002C4A76"/>
    <w:rsid w:val="002D0341"/>
    <w:rsid w:val="002D4B11"/>
    <w:rsid w:val="002D4F01"/>
    <w:rsid w:val="002D7C6B"/>
    <w:rsid w:val="002D7E45"/>
    <w:rsid w:val="002E139F"/>
    <w:rsid w:val="002E5A8C"/>
    <w:rsid w:val="002E6C53"/>
    <w:rsid w:val="002F09AA"/>
    <w:rsid w:val="002F1620"/>
    <w:rsid w:val="002F64C5"/>
    <w:rsid w:val="002F6BB9"/>
    <w:rsid w:val="002F75BC"/>
    <w:rsid w:val="00305263"/>
    <w:rsid w:val="003078AA"/>
    <w:rsid w:val="00313C52"/>
    <w:rsid w:val="00314E8C"/>
    <w:rsid w:val="00322EB8"/>
    <w:rsid w:val="0032654E"/>
    <w:rsid w:val="00332083"/>
    <w:rsid w:val="00332C60"/>
    <w:rsid w:val="00343FCF"/>
    <w:rsid w:val="00360A6A"/>
    <w:rsid w:val="0038298C"/>
    <w:rsid w:val="00383D80"/>
    <w:rsid w:val="00385E63"/>
    <w:rsid w:val="003874E0"/>
    <w:rsid w:val="00393496"/>
    <w:rsid w:val="003A55B2"/>
    <w:rsid w:val="003A766F"/>
    <w:rsid w:val="003B049D"/>
    <w:rsid w:val="003C0EE9"/>
    <w:rsid w:val="003D0490"/>
    <w:rsid w:val="003D2B28"/>
    <w:rsid w:val="003D2EC5"/>
    <w:rsid w:val="003D7D43"/>
    <w:rsid w:val="003E4630"/>
    <w:rsid w:val="003F4DFA"/>
    <w:rsid w:val="003F6214"/>
    <w:rsid w:val="00404D9A"/>
    <w:rsid w:val="004144BA"/>
    <w:rsid w:val="0041513E"/>
    <w:rsid w:val="00416262"/>
    <w:rsid w:val="0043121C"/>
    <w:rsid w:val="00435B1A"/>
    <w:rsid w:val="00437451"/>
    <w:rsid w:val="00441B96"/>
    <w:rsid w:val="0044723F"/>
    <w:rsid w:val="00453A05"/>
    <w:rsid w:val="00455FBE"/>
    <w:rsid w:val="00456A13"/>
    <w:rsid w:val="00467500"/>
    <w:rsid w:val="00467857"/>
    <w:rsid w:val="0047255A"/>
    <w:rsid w:val="00473C12"/>
    <w:rsid w:val="0048034D"/>
    <w:rsid w:val="00483639"/>
    <w:rsid w:val="00486A2C"/>
    <w:rsid w:val="004A531C"/>
    <w:rsid w:val="004B096F"/>
    <w:rsid w:val="004B3217"/>
    <w:rsid w:val="004B5683"/>
    <w:rsid w:val="004B5920"/>
    <w:rsid w:val="004B707A"/>
    <w:rsid w:val="004C53C8"/>
    <w:rsid w:val="004C7EDB"/>
    <w:rsid w:val="004D3AA0"/>
    <w:rsid w:val="004E1466"/>
    <w:rsid w:val="004E5436"/>
    <w:rsid w:val="004E613A"/>
    <w:rsid w:val="004E67DA"/>
    <w:rsid w:val="004F297E"/>
    <w:rsid w:val="004F7C7E"/>
    <w:rsid w:val="0050042E"/>
    <w:rsid w:val="00500C73"/>
    <w:rsid w:val="005071AC"/>
    <w:rsid w:val="00507539"/>
    <w:rsid w:val="0051257D"/>
    <w:rsid w:val="005221D7"/>
    <w:rsid w:val="0052348C"/>
    <w:rsid w:val="00533428"/>
    <w:rsid w:val="005345D0"/>
    <w:rsid w:val="005351D2"/>
    <w:rsid w:val="005370DC"/>
    <w:rsid w:val="00540378"/>
    <w:rsid w:val="0054587C"/>
    <w:rsid w:val="00547A52"/>
    <w:rsid w:val="00550C9F"/>
    <w:rsid w:val="00560A97"/>
    <w:rsid w:val="00562B4E"/>
    <w:rsid w:val="005639FE"/>
    <w:rsid w:val="0057433A"/>
    <w:rsid w:val="00580B50"/>
    <w:rsid w:val="00581FA1"/>
    <w:rsid w:val="00585AA1"/>
    <w:rsid w:val="005862AD"/>
    <w:rsid w:val="005862D9"/>
    <w:rsid w:val="00594EF8"/>
    <w:rsid w:val="005A13A0"/>
    <w:rsid w:val="005A3538"/>
    <w:rsid w:val="005B0C3D"/>
    <w:rsid w:val="005B1CBC"/>
    <w:rsid w:val="005B1DE8"/>
    <w:rsid w:val="005B45F9"/>
    <w:rsid w:val="005B71B5"/>
    <w:rsid w:val="005C1C17"/>
    <w:rsid w:val="005C293A"/>
    <w:rsid w:val="005C6D5E"/>
    <w:rsid w:val="005D39F2"/>
    <w:rsid w:val="005D66E1"/>
    <w:rsid w:val="005D79AA"/>
    <w:rsid w:val="005E19D2"/>
    <w:rsid w:val="005E1B1C"/>
    <w:rsid w:val="005E41C8"/>
    <w:rsid w:val="005E70E9"/>
    <w:rsid w:val="005F28CA"/>
    <w:rsid w:val="005F38CA"/>
    <w:rsid w:val="005F450A"/>
    <w:rsid w:val="00605327"/>
    <w:rsid w:val="0061295A"/>
    <w:rsid w:val="006139B3"/>
    <w:rsid w:val="00615C22"/>
    <w:rsid w:val="00616F48"/>
    <w:rsid w:val="006177CF"/>
    <w:rsid w:val="00620948"/>
    <w:rsid w:val="006236C8"/>
    <w:rsid w:val="006241CB"/>
    <w:rsid w:val="00627347"/>
    <w:rsid w:val="00631B4F"/>
    <w:rsid w:val="006334EF"/>
    <w:rsid w:val="00634E63"/>
    <w:rsid w:val="00635693"/>
    <w:rsid w:val="0063660D"/>
    <w:rsid w:val="0063722D"/>
    <w:rsid w:val="006376E8"/>
    <w:rsid w:val="006432EE"/>
    <w:rsid w:val="00644AA6"/>
    <w:rsid w:val="00644C00"/>
    <w:rsid w:val="00650938"/>
    <w:rsid w:val="0065616F"/>
    <w:rsid w:val="0067157E"/>
    <w:rsid w:val="00671793"/>
    <w:rsid w:val="006779C0"/>
    <w:rsid w:val="006832C8"/>
    <w:rsid w:val="006949F6"/>
    <w:rsid w:val="00695AD0"/>
    <w:rsid w:val="0069640C"/>
    <w:rsid w:val="00696B3C"/>
    <w:rsid w:val="00696DB4"/>
    <w:rsid w:val="006A3EA8"/>
    <w:rsid w:val="006A4C7F"/>
    <w:rsid w:val="006A766D"/>
    <w:rsid w:val="006B15F5"/>
    <w:rsid w:val="006B161E"/>
    <w:rsid w:val="006B4985"/>
    <w:rsid w:val="006C04FC"/>
    <w:rsid w:val="006C7632"/>
    <w:rsid w:val="006D35B2"/>
    <w:rsid w:val="006D6AA7"/>
    <w:rsid w:val="006E10B2"/>
    <w:rsid w:val="006E3200"/>
    <w:rsid w:val="006E4290"/>
    <w:rsid w:val="006F2DE2"/>
    <w:rsid w:val="006F6FEE"/>
    <w:rsid w:val="006F7E71"/>
    <w:rsid w:val="00703555"/>
    <w:rsid w:val="00705578"/>
    <w:rsid w:val="00707BDD"/>
    <w:rsid w:val="00712535"/>
    <w:rsid w:val="007209B3"/>
    <w:rsid w:val="00726CAD"/>
    <w:rsid w:val="00741FD8"/>
    <w:rsid w:val="00743B96"/>
    <w:rsid w:val="00745A1A"/>
    <w:rsid w:val="00747E6E"/>
    <w:rsid w:val="00753095"/>
    <w:rsid w:val="007573A9"/>
    <w:rsid w:val="00763972"/>
    <w:rsid w:val="00764601"/>
    <w:rsid w:val="0076687F"/>
    <w:rsid w:val="007703E1"/>
    <w:rsid w:val="00771519"/>
    <w:rsid w:val="00772028"/>
    <w:rsid w:val="00773A6A"/>
    <w:rsid w:val="00775202"/>
    <w:rsid w:val="00782F82"/>
    <w:rsid w:val="007860FC"/>
    <w:rsid w:val="00786220"/>
    <w:rsid w:val="0078743A"/>
    <w:rsid w:val="00790E2A"/>
    <w:rsid w:val="00795556"/>
    <w:rsid w:val="007A44BD"/>
    <w:rsid w:val="007A634E"/>
    <w:rsid w:val="007B2332"/>
    <w:rsid w:val="007B35AF"/>
    <w:rsid w:val="007B4345"/>
    <w:rsid w:val="007C314D"/>
    <w:rsid w:val="007C3EC8"/>
    <w:rsid w:val="007D0FBE"/>
    <w:rsid w:val="007D1FAC"/>
    <w:rsid w:val="007D5C03"/>
    <w:rsid w:val="007E1EA6"/>
    <w:rsid w:val="007E4CA3"/>
    <w:rsid w:val="007F4067"/>
    <w:rsid w:val="007F7A76"/>
    <w:rsid w:val="00800C77"/>
    <w:rsid w:val="0080323B"/>
    <w:rsid w:val="0081054C"/>
    <w:rsid w:val="008111B0"/>
    <w:rsid w:val="008201CD"/>
    <w:rsid w:val="0082197A"/>
    <w:rsid w:val="008234BA"/>
    <w:rsid w:val="008240EE"/>
    <w:rsid w:val="0083006C"/>
    <w:rsid w:val="00834968"/>
    <w:rsid w:val="00835A13"/>
    <w:rsid w:val="00845283"/>
    <w:rsid w:val="0085133A"/>
    <w:rsid w:val="00860E5E"/>
    <w:rsid w:val="0086189E"/>
    <w:rsid w:val="00861C87"/>
    <w:rsid w:val="00867954"/>
    <w:rsid w:val="00870EF6"/>
    <w:rsid w:val="008842EB"/>
    <w:rsid w:val="00884D10"/>
    <w:rsid w:val="008A69B4"/>
    <w:rsid w:val="008A7685"/>
    <w:rsid w:val="008B058C"/>
    <w:rsid w:val="008B1182"/>
    <w:rsid w:val="008B7050"/>
    <w:rsid w:val="008D0374"/>
    <w:rsid w:val="008D349D"/>
    <w:rsid w:val="008D39A1"/>
    <w:rsid w:val="008D5FCC"/>
    <w:rsid w:val="008E33A4"/>
    <w:rsid w:val="008E4C37"/>
    <w:rsid w:val="008F0EF4"/>
    <w:rsid w:val="008F2845"/>
    <w:rsid w:val="008F4E16"/>
    <w:rsid w:val="008F5CF2"/>
    <w:rsid w:val="00902D63"/>
    <w:rsid w:val="00905F5F"/>
    <w:rsid w:val="00906F00"/>
    <w:rsid w:val="00914A88"/>
    <w:rsid w:val="009269C7"/>
    <w:rsid w:val="00932087"/>
    <w:rsid w:val="00932AFB"/>
    <w:rsid w:val="009337C7"/>
    <w:rsid w:val="00952DCB"/>
    <w:rsid w:val="00956017"/>
    <w:rsid w:val="009574E1"/>
    <w:rsid w:val="00971058"/>
    <w:rsid w:val="00971E90"/>
    <w:rsid w:val="0097455F"/>
    <w:rsid w:val="009776C3"/>
    <w:rsid w:val="00990791"/>
    <w:rsid w:val="0099165A"/>
    <w:rsid w:val="0099365B"/>
    <w:rsid w:val="009A1A49"/>
    <w:rsid w:val="009A1BAB"/>
    <w:rsid w:val="009A2D76"/>
    <w:rsid w:val="009A4948"/>
    <w:rsid w:val="009B04D6"/>
    <w:rsid w:val="009B23AE"/>
    <w:rsid w:val="009C04DF"/>
    <w:rsid w:val="009C07D2"/>
    <w:rsid w:val="009C16B3"/>
    <w:rsid w:val="009C34C0"/>
    <w:rsid w:val="009D18BD"/>
    <w:rsid w:val="009D3E81"/>
    <w:rsid w:val="009E12D9"/>
    <w:rsid w:val="009E5EE9"/>
    <w:rsid w:val="009F38B6"/>
    <w:rsid w:val="009F3FEC"/>
    <w:rsid w:val="00A03DD0"/>
    <w:rsid w:val="00A077A1"/>
    <w:rsid w:val="00A115AC"/>
    <w:rsid w:val="00A13E13"/>
    <w:rsid w:val="00A21A61"/>
    <w:rsid w:val="00A2632F"/>
    <w:rsid w:val="00A26B5F"/>
    <w:rsid w:val="00A31E55"/>
    <w:rsid w:val="00A371DC"/>
    <w:rsid w:val="00A40F60"/>
    <w:rsid w:val="00A413C0"/>
    <w:rsid w:val="00A43773"/>
    <w:rsid w:val="00A523BE"/>
    <w:rsid w:val="00A53854"/>
    <w:rsid w:val="00A53DB5"/>
    <w:rsid w:val="00A63BDC"/>
    <w:rsid w:val="00A648C4"/>
    <w:rsid w:val="00A67184"/>
    <w:rsid w:val="00A70ECF"/>
    <w:rsid w:val="00A710E2"/>
    <w:rsid w:val="00A73373"/>
    <w:rsid w:val="00A76A05"/>
    <w:rsid w:val="00A8167D"/>
    <w:rsid w:val="00A87ABA"/>
    <w:rsid w:val="00A93715"/>
    <w:rsid w:val="00A96308"/>
    <w:rsid w:val="00AA0301"/>
    <w:rsid w:val="00AA2746"/>
    <w:rsid w:val="00AA3FD9"/>
    <w:rsid w:val="00AB670A"/>
    <w:rsid w:val="00AB7C67"/>
    <w:rsid w:val="00AC2D53"/>
    <w:rsid w:val="00AC3379"/>
    <w:rsid w:val="00AC717B"/>
    <w:rsid w:val="00AD0B74"/>
    <w:rsid w:val="00AD7191"/>
    <w:rsid w:val="00AE0902"/>
    <w:rsid w:val="00AE0FFD"/>
    <w:rsid w:val="00AE69B9"/>
    <w:rsid w:val="00AE6C2A"/>
    <w:rsid w:val="00AF2148"/>
    <w:rsid w:val="00B013C0"/>
    <w:rsid w:val="00B036E6"/>
    <w:rsid w:val="00B1301D"/>
    <w:rsid w:val="00B1698E"/>
    <w:rsid w:val="00B16D69"/>
    <w:rsid w:val="00B16FD6"/>
    <w:rsid w:val="00B2023F"/>
    <w:rsid w:val="00B203BC"/>
    <w:rsid w:val="00B25691"/>
    <w:rsid w:val="00B26E2E"/>
    <w:rsid w:val="00B27666"/>
    <w:rsid w:val="00B37F0C"/>
    <w:rsid w:val="00B42A55"/>
    <w:rsid w:val="00B57971"/>
    <w:rsid w:val="00B658B0"/>
    <w:rsid w:val="00B7291C"/>
    <w:rsid w:val="00B745A8"/>
    <w:rsid w:val="00B749E5"/>
    <w:rsid w:val="00B772BE"/>
    <w:rsid w:val="00B82B60"/>
    <w:rsid w:val="00B908CC"/>
    <w:rsid w:val="00B95B64"/>
    <w:rsid w:val="00B96A2E"/>
    <w:rsid w:val="00BA3DE8"/>
    <w:rsid w:val="00BA7BA1"/>
    <w:rsid w:val="00BB15F6"/>
    <w:rsid w:val="00BB6D87"/>
    <w:rsid w:val="00BC0FF4"/>
    <w:rsid w:val="00BC10FB"/>
    <w:rsid w:val="00BC1476"/>
    <w:rsid w:val="00BC2B9B"/>
    <w:rsid w:val="00BC5D74"/>
    <w:rsid w:val="00BC6FED"/>
    <w:rsid w:val="00BC7A59"/>
    <w:rsid w:val="00BD0E6F"/>
    <w:rsid w:val="00BD55DA"/>
    <w:rsid w:val="00BD7395"/>
    <w:rsid w:val="00BE66A2"/>
    <w:rsid w:val="00BE67C3"/>
    <w:rsid w:val="00BF1F3A"/>
    <w:rsid w:val="00BF6002"/>
    <w:rsid w:val="00C015F9"/>
    <w:rsid w:val="00C052ED"/>
    <w:rsid w:val="00C070EA"/>
    <w:rsid w:val="00C10A63"/>
    <w:rsid w:val="00C12730"/>
    <w:rsid w:val="00C16C53"/>
    <w:rsid w:val="00C221CC"/>
    <w:rsid w:val="00C23F0A"/>
    <w:rsid w:val="00C25C9D"/>
    <w:rsid w:val="00C32176"/>
    <w:rsid w:val="00C3457E"/>
    <w:rsid w:val="00C34EA8"/>
    <w:rsid w:val="00C3591E"/>
    <w:rsid w:val="00C4436C"/>
    <w:rsid w:val="00C530A7"/>
    <w:rsid w:val="00C5388B"/>
    <w:rsid w:val="00C55003"/>
    <w:rsid w:val="00C55795"/>
    <w:rsid w:val="00C564D3"/>
    <w:rsid w:val="00C577B5"/>
    <w:rsid w:val="00C578FA"/>
    <w:rsid w:val="00C61086"/>
    <w:rsid w:val="00C64E70"/>
    <w:rsid w:val="00C7273E"/>
    <w:rsid w:val="00C75B5D"/>
    <w:rsid w:val="00C81495"/>
    <w:rsid w:val="00C93539"/>
    <w:rsid w:val="00C95834"/>
    <w:rsid w:val="00C976D7"/>
    <w:rsid w:val="00CA0086"/>
    <w:rsid w:val="00CA2347"/>
    <w:rsid w:val="00CA4D27"/>
    <w:rsid w:val="00CA5745"/>
    <w:rsid w:val="00CA642D"/>
    <w:rsid w:val="00CB262E"/>
    <w:rsid w:val="00CB580A"/>
    <w:rsid w:val="00CB6F68"/>
    <w:rsid w:val="00CB70B1"/>
    <w:rsid w:val="00CC2BDC"/>
    <w:rsid w:val="00CC7051"/>
    <w:rsid w:val="00CD016D"/>
    <w:rsid w:val="00CD0E4A"/>
    <w:rsid w:val="00CD1084"/>
    <w:rsid w:val="00CE1AFA"/>
    <w:rsid w:val="00CE1ED1"/>
    <w:rsid w:val="00CE7D67"/>
    <w:rsid w:val="00CF27D3"/>
    <w:rsid w:val="00CF4396"/>
    <w:rsid w:val="00CF4836"/>
    <w:rsid w:val="00D03FE7"/>
    <w:rsid w:val="00D05ECA"/>
    <w:rsid w:val="00D13C4B"/>
    <w:rsid w:val="00D15FFE"/>
    <w:rsid w:val="00D2085F"/>
    <w:rsid w:val="00D3108D"/>
    <w:rsid w:val="00D33931"/>
    <w:rsid w:val="00D41781"/>
    <w:rsid w:val="00D46354"/>
    <w:rsid w:val="00D526E3"/>
    <w:rsid w:val="00D55D70"/>
    <w:rsid w:val="00D77287"/>
    <w:rsid w:val="00D83DE9"/>
    <w:rsid w:val="00D91C6B"/>
    <w:rsid w:val="00D93B2E"/>
    <w:rsid w:val="00DA0895"/>
    <w:rsid w:val="00DA38DA"/>
    <w:rsid w:val="00DA73CB"/>
    <w:rsid w:val="00DB2003"/>
    <w:rsid w:val="00DB3969"/>
    <w:rsid w:val="00DB4856"/>
    <w:rsid w:val="00DB67CD"/>
    <w:rsid w:val="00DC009C"/>
    <w:rsid w:val="00DC033B"/>
    <w:rsid w:val="00DC1175"/>
    <w:rsid w:val="00DC5794"/>
    <w:rsid w:val="00DD1CE2"/>
    <w:rsid w:val="00DD29AD"/>
    <w:rsid w:val="00DD42B1"/>
    <w:rsid w:val="00DD430A"/>
    <w:rsid w:val="00DD670A"/>
    <w:rsid w:val="00DD6C45"/>
    <w:rsid w:val="00DE04C2"/>
    <w:rsid w:val="00DE5E8D"/>
    <w:rsid w:val="00DE6340"/>
    <w:rsid w:val="00DF57F0"/>
    <w:rsid w:val="00DF5AE0"/>
    <w:rsid w:val="00E010D3"/>
    <w:rsid w:val="00E02627"/>
    <w:rsid w:val="00E02E08"/>
    <w:rsid w:val="00E06622"/>
    <w:rsid w:val="00E07DA2"/>
    <w:rsid w:val="00E127C9"/>
    <w:rsid w:val="00E128A2"/>
    <w:rsid w:val="00E15C5D"/>
    <w:rsid w:val="00E271C2"/>
    <w:rsid w:val="00E27F07"/>
    <w:rsid w:val="00E32F49"/>
    <w:rsid w:val="00E33A48"/>
    <w:rsid w:val="00E47FC7"/>
    <w:rsid w:val="00E76F21"/>
    <w:rsid w:val="00E82EB2"/>
    <w:rsid w:val="00E865E6"/>
    <w:rsid w:val="00E9269C"/>
    <w:rsid w:val="00E94BAA"/>
    <w:rsid w:val="00E97CC2"/>
    <w:rsid w:val="00EA05ED"/>
    <w:rsid w:val="00EA122C"/>
    <w:rsid w:val="00EA4AEB"/>
    <w:rsid w:val="00EA5A1A"/>
    <w:rsid w:val="00EA5AE0"/>
    <w:rsid w:val="00EA62B9"/>
    <w:rsid w:val="00EA7762"/>
    <w:rsid w:val="00EC06E0"/>
    <w:rsid w:val="00EC3A72"/>
    <w:rsid w:val="00EC7AC8"/>
    <w:rsid w:val="00ED05FF"/>
    <w:rsid w:val="00ED0846"/>
    <w:rsid w:val="00ED0C42"/>
    <w:rsid w:val="00ED252E"/>
    <w:rsid w:val="00ED4276"/>
    <w:rsid w:val="00ED57D3"/>
    <w:rsid w:val="00EE2256"/>
    <w:rsid w:val="00EE267E"/>
    <w:rsid w:val="00EE2C73"/>
    <w:rsid w:val="00EE3DA8"/>
    <w:rsid w:val="00EE50ED"/>
    <w:rsid w:val="00EE5C03"/>
    <w:rsid w:val="00EE7E37"/>
    <w:rsid w:val="00EF1968"/>
    <w:rsid w:val="00EF2789"/>
    <w:rsid w:val="00EF2D03"/>
    <w:rsid w:val="00EF3E54"/>
    <w:rsid w:val="00EF7EB5"/>
    <w:rsid w:val="00F00EF9"/>
    <w:rsid w:val="00F00F23"/>
    <w:rsid w:val="00F03FE3"/>
    <w:rsid w:val="00F10C41"/>
    <w:rsid w:val="00F120F3"/>
    <w:rsid w:val="00F1338F"/>
    <w:rsid w:val="00F13A60"/>
    <w:rsid w:val="00F16DD5"/>
    <w:rsid w:val="00F17C97"/>
    <w:rsid w:val="00F17DD9"/>
    <w:rsid w:val="00F20975"/>
    <w:rsid w:val="00F23D16"/>
    <w:rsid w:val="00F24A9C"/>
    <w:rsid w:val="00F3253B"/>
    <w:rsid w:val="00F41A3C"/>
    <w:rsid w:val="00F4348F"/>
    <w:rsid w:val="00F43511"/>
    <w:rsid w:val="00F47D49"/>
    <w:rsid w:val="00F55243"/>
    <w:rsid w:val="00F60AD7"/>
    <w:rsid w:val="00F617D1"/>
    <w:rsid w:val="00F6272F"/>
    <w:rsid w:val="00F6418F"/>
    <w:rsid w:val="00F67564"/>
    <w:rsid w:val="00F67BFE"/>
    <w:rsid w:val="00F70308"/>
    <w:rsid w:val="00F72E25"/>
    <w:rsid w:val="00F73BF7"/>
    <w:rsid w:val="00F74B23"/>
    <w:rsid w:val="00F86001"/>
    <w:rsid w:val="00F86535"/>
    <w:rsid w:val="00FA2B7B"/>
    <w:rsid w:val="00FA5A90"/>
    <w:rsid w:val="00FB1234"/>
    <w:rsid w:val="00FB34A4"/>
    <w:rsid w:val="00FC0EE4"/>
    <w:rsid w:val="00FC4B02"/>
    <w:rsid w:val="00FC7DB8"/>
    <w:rsid w:val="00FD14EB"/>
    <w:rsid w:val="00FD4F01"/>
    <w:rsid w:val="00FD5F8B"/>
    <w:rsid w:val="00FD770A"/>
    <w:rsid w:val="00FD77C0"/>
    <w:rsid w:val="00FD7E42"/>
    <w:rsid w:val="00FE0204"/>
    <w:rsid w:val="00FE2DAB"/>
    <w:rsid w:val="00FE3AE5"/>
    <w:rsid w:val="00FE7E4C"/>
    <w:rsid w:val="00FF1CA4"/>
    <w:rsid w:val="00FF2D95"/>
    <w:rsid w:val="00FF37C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D82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tv213">
    <w:name w:val="tv213"/>
    <w:basedOn w:val="Normal"/>
    <w:rsid w:val="008452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55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5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4D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56A13"/>
    <w:rPr>
      <w:sz w:val="24"/>
      <w:szCs w:val="24"/>
    </w:rPr>
  </w:style>
  <w:style w:type="character" w:styleId="CommentReference">
    <w:name w:val="annotation reference"/>
    <w:basedOn w:val="DefaultParagraphFont"/>
    <w:rsid w:val="008D5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CC"/>
  </w:style>
  <w:style w:type="paragraph" w:styleId="CommentSubject">
    <w:name w:val="annotation subject"/>
    <w:basedOn w:val="CommentText"/>
    <w:next w:val="CommentText"/>
    <w:link w:val="CommentSubjectChar"/>
    <w:rsid w:val="008D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CC"/>
    <w:rPr>
      <w:b/>
      <w:bCs/>
    </w:rPr>
  </w:style>
  <w:style w:type="character" w:styleId="FollowedHyperlink">
    <w:name w:val="FollowedHyperlink"/>
    <w:basedOn w:val="DefaultParagraphFont"/>
    <w:rsid w:val="00EA05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tv213">
    <w:name w:val="tv213"/>
    <w:basedOn w:val="Normal"/>
    <w:rsid w:val="008452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55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5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4D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56A13"/>
    <w:rPr>
      <w:sz w:val="24"/>
      <w:szCs w:val="24"/>
    </w:rPr>
  </w:style>
  <w:style w:type="character" w:styleId="CommentReference">
    <w:name w:val="annotation reference"/>
    <w:basedOn w:val="DefaultParagraphFont"/>
    <w:rsid w:val="008D5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CC"/>
  </w:style>
  <w:style w:type="paragraph" w:styleId="CommentSubject">
    <w:name w:val="annotation subject"/>
    <w:basedOn w:val="CommentText"/>
    <w:next w:val="CommentText"/>
    <w:link w:val="CommentSubjectChar"/>
    <w:rsid w:val="008D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CC"/>
    <w:rPr>
      <w:b/>
      <w:bCs/>
    </w:rPr>
  </w:style>
  <w:style w:type="character" w:styleId="FollowedHyperlink">
    <w:name w:val="FollowedHyperlink"/>
    <w:basedOn w:val="DefaultParagraphFont"/>
    <w:rsid w:val="00EA0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2464-kartiba-kada-sanemama-atlauja-reklamas-izvietosanai-publiskas-vietas-vai-vietas-kas-verstas-pret-publisku-vie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ome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lgava.lv/lv/pakalpojumi/maja-un-vide/maja-un-vi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3333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Aira Rumjanceva</dc:creator>
  <cp:lastModifiedBy>Baiba Jēkabsone</cp:lastModifiedBy>
  <cp:revision>2</cp:revision>
  <cp:lastPrinted>2020-09-10T13:23:00Z</cp:lastPrinted>
  <dcterms:created xsi:type="dcterms:W3CDTF">2020-09-23T10:45:00Z</dcterms:created>
  <dcterms:modified xsi:type="dcterms:W3CDTF">2020-09-23T10:45:00Z</dcterms:modified>
</cp:coreProperties>
</file>