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1" w:rsidRDefault="004D08A1" w:rsidP="004D08A1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 xml:space="preserve">JELGAVAS PILSĒTAS PAŠVALDĪBAS 2021.GADA </w:t>
      </w:r>
      <w:r>
        <w:rPr>
          <w:b/>
          <w:bCs/>
        </w:rPr>
        <w:t>1</w:t>
      </w:r>
      <w:r w:rsidRPr="008635FC">
        <w:rPr>
          <w:b/>
          <w:bCs/>
        </w:rPr>
        <w:t>7.</w:t>
      </w:r>
      <w:r>
        <w:rPr>
          <w:b/>
          <w:bCs/>
        </w:rPr>
        <w:t>JŪN</w:t>
      </w:r>
      <w:r w:rsidRPr="008635FC">
        <w:rPr>
          <w:b/>
          <w:bCs/>
        </w:rPr>
        <w:t xml:space="preserve">IJA </w:t>
      </w:r>
    </w:p>
    <w:p w:rsidR="004D08A1" w:rsidRDefault="004D08A1" w:rsidP="004D08A1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>SAISTOŠO NOTEIKUMU NR</w:t>
      </w:r>
      <w:r w:rsidRPr="008635FC">
        <w:rPr>
          <w:b/>
          <w:bCs/>
        </w:rPr>
        <w:t>.</w:t>
      </w:r>
      <w:r>
        <w:rPr>
          <w:b/>
          <w:bCs/>
        </w:rPr>
        <w:t>21-15</w:t>
      </w:r>
      <w:r w:rsidRPr="008635FC">
        <w:rPr>
          <w:b/>
          <w:bCs/>
        </w:rPr>
        <w:t xml:space="preserve">„GROZĪJUMI JELGAVAS PILSĒTAS PAŠVALDĪBAS 2015.GADA 12.NOVEMBRA SAISTOŠAJOS NOTEIKUMOS </w:t>
      </w:r>
    </w:p>
    <w:p w:rsidR="004D08A1" w:rsidRDefault="004D08A1" w:rsidP="004D08A1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>NR.15-</w:t>
      </w:r>
      <w:r>
        <w:rPr>
          <w:b/>
          <w:bCs/>
        </w:rPr>
        <w:t>20</w:t>
      </w:r>
      <w:r w:rsidRPr="008635FC">
        <w:rPr>
          <w:b/>
          <w:bCs/>
        </w:rPr>
        <w:t xml:space="preserve"> „</w:t>
      </w:r>
      <w:r>
        <w:rPr>
          <w:b/>
          <w:bCs/>
        </w:rPr>
        <w:t xml:space="preserve">JELGAVAS PILSĒTAS PAŠVALDĪBAS PABALSTU </w:t>
      </w:r>
      <w:r w:rsidRPr="008635FC">
        <w:rPr>
          <w:b/>
          <w:bCs/>
        </w:rPr>
        <w:t xml:space="preserve">PIEŠĶIRŠANAS NOTEKUMI”” </w:t>
      </w:r>
    </w:p>
    <w:p w:rsidR="004D08A1" w:rsidRPr="008635FC" w:rsidRDefault="004D08A1" w:rsidP="004D08A1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>PASKAIDROJUMA RAKSTS</w:t>
      </w:r>
    </w:p>
    <w:p w:rsidR="004D08A1" w:rsidRPr="008635FC" w:rsidRDefault="004D08A1" w:rsidP="004D08A1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4D08A1" w:rsidRPr="008635FC" w:rsidTr="00196E98">
        <w:tc>
          <w:tcPr>
            <w:tcW w:w="2942" w:type="dxa"/>
          </w:tcPr>
          <w:p w:rsidR="004D08A1" w:rsidRPr="008635FC" w:rsidRDefault="004D08A1" w:rsidP="00196E98">
            <w:pPr>
              <w:jc w:val="center"/>
              <w:rPr>
                <w:b/>
              </w:rPr>
            </w:pPr>
            <w:r w:rsidRPr="008635FC">
              <w:rPr>
                <w:b/>
              </w:rPr>
              <w:t>Paskaidrojuma raksta sadaļas</w:t>
            </w:r>
          </w:p>
        </w:tc>
        <w:tc>
          <w:tcPr>
            <w:tcW w:w="6097" w:type="dxa"/>
          </w:tcPr>
          <w:p w:rsidR="004D08A1" w:rsidRPr="008635FC" w:rsidRDefault="004D08A1" w:rsidP="00196E98">
            <w:pPr>
              <w:jc w:val="center"/>
              <w:rPr>
                <w:b/>
              </w:rPr>
            </w:pPr>
            <w:r w:rsidRPr="008635FC">
              <w:rPr>
                <w:b/>
              </w:rPr>
              <w:t>Norādāmā informācija</w:t>
            </w:r>
          </w:p>
        </w:tc>
      </w:tr>
      <w:tr w:rsidR="004D08A1" w:rsidRPr="008635FC" w:rsidTr="00196E98">
        <w:trPr>
          <w:trHeight w:val="7419"/>
        </w:trPr>
        <w:tc>
          <w:tcPr>
            <w:tcW w:w="2942" w:type="dxa"/>
          </w:tcPr>
          <w:p w:rsidR="004D08A1" w:rsidRPr="008635FC" w:rsidRDefault="004D08A1" w:rsidP="00196E98">
            <w:r w:rsidRPr="008635FC">
              <w:t>1.Īss projekta satura izklāsts</w:t>
            </w:r>
          </w:p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>
            <w:pPr>
              <w:jc w:val="center"/>
            </w:pPr>
          </w:p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/>
          <w:p w:rsidR="004D08A1" w:rsidRPr="008635FC" w:rsidRDefault="004D08A1" w:rsidP="00196E98">
            <w:pPr>
              <w:jc w:val="center"/>
            </w:pPr>
          </w:p>
        </w:tc>
        <w:tc>
          <w:tcPr>
            <w:tcW w:w="6097" w:type="dxa"/>
          </w:tcPr>
          <w:p w:rsidR="004D08A1" w:rsidRDefault="004D08A1" w:rsidP="00196E98">
            <w:pPr>
              <w:autoSpaceDE w:val="0"/>
              <w:autoSpaceDN w:val="0"/>
              <w:adjustRightInd w:val="0"/>
              <w:jc w:val="both"/>
            </w:pPr>
            <w:r w:rsidRPr="008635FC">
              <w:t>Saistošie noteikumi  (turpmāk - noteikumi) tiek izdoti saskaņā ar likuma "</w:t>
            </w:r>
            <w:hyperlink r:id="rId6" w:tgtFrame="_blank" w:history="1">
              <w:r w:rsidRPr="008635FC">
                <w:rPr>
                  <w:rStyle w:val="Hyperlink"/>
                  <w:color w:val="auto"/>
                  <w:u w:val="none"/>
                </w:rPr>
                <w:t>Par pašvaldībām</w:t>
              </w:r>
            </w:hyperlink>
            <w:r w:rsidRPr="008635FC">
              <w:t>" </w:t>
            </w:r>
            <w:hyperlink r:id="rId7" w:anchor="p43" w:tgtFrame="_blank" w:history="1">
              <w:r w:rsidRPr="008635FC">
                <w:rPr>
                  <w:rStyle w:val="Hyperlink"/>
                  <w:color w:val="auto"/>
                  <w:u w:val="none"/>
                </w:rPr>
                <w:t>43.panta</w:t>
              </w:r>
            </w:hyperlink>
            <w:r w:rsidRPr="008635FC">
              <w:t> trešo daļu, Sociālo pakalpojumu un sociālās palīdzības likuma (turpmāk – SPSPL) 36.panta</w:t>
            </w:r>
            <w:r>
              <w:t xml:space="preserve"> </w:t>
            </w:r>
            <w:r w:rsidRPr="008635FC">
              <w:t>sesto daļu</w:t>
            </w:r>
            <w:r>
              <w:t>,</w:t>
            </w:r>
            <w:r w:rsidRPr="008635FC">
              <w:t xml:space="preserve"> likuma "</w:t>
            </w:r>
            <w:hyperlink r:id="rId8" w:tgtFrame="_blank" w:history="1">
              <w:r w:rsidRPr="008635FC">
                <w:rPr>
                  <w:rStyle w:val="Hyperlink"/>
                  <w:color w:val="auto"/>
                  <w:u w:val="none"/>
                </w:rPr>
                <w:t>Par palīdzību dzīvokļa jautājumu risināšanā</w:t>
              </w:r>
            </w:hyperlink>
            <w:r w:rsidRPr="008635FC">
              <w:t xml:space="preserve">" </w:t>
            </w:r>
            <w:r w:rsidRPr="008635FC">
              <w:rPr>
                <w:rStyle w:val="Hyperlink"/>
                <w:color w:val="auto"/>
                <w:u w:val="none"/>
              </w:rPr>
              <w:t>25.pant</w:t>
            </w:r>
            <w:r>
              <w:rPr>
                <w:rStyle w:val="Hyperlink"/>
                <w:color w:val="auto"/>
                <w:u w:val="none"/>
              </w:rPr>
              <w:t>a</w:t>
            </w:r>
            <w:r w:rsidRPr="008635FC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pirmo daļu.</w:t>
            </w:r>
          </w:p>
          <w:p w:rsidR="004D08A1" w:rsidRDefault="004D08A1" w:rsidP="00196E98">
            <w:pPr>
              <w:autoSpaceDE w:val="0"/>
              <w:autoSpaceDN w:val="0"/>
              <w:adjustRightInd w:val="0"/>
              <w:jc w:val="both"/>
            </w:pPr>
            <w:r w:rsidRPr="008635FC">
              <w:t xml:space="preserve">Noteikumos tiek precizēts </w:t>
            </w:r>
            <w:r>
              <w:t>noteikumu</w:t>
            </w:r>
            <w:r w:rsidRPr="008635FC">
              <w:t xml:space="preserve"> izdošanas tiesiskais pamatojums, papildinot ar ats</w:t>
            </w:r>
            <w:r>
              <w:t>au</w:t>
            </w:r>
            <w:r w:rsidRPr="008635FC">
              <w:t>ci uz SPSPL 36</w:t>
            </w:r>
            <w:r>
              <w:t>.</w:t>
            </w:r>
            <w:r w:rsidRPr="008635FC">
              <w:t>panta</w:t>
            </w:r>
            <w:r>
              <w:t xml:space="preserve"> </w:t>
            </w:r>
            <w:r w:rsidRPr="008635FC">
              <w:t>sesto daļu</w:t>
            </w:r>
            <w:r>
              <w:t>.</w:t>
            </w:r>
          </w:p>
          <w:p w:rsidR="004D08A1" w:rsidRPr="008F38C0" w:rsidRDefault="004D08A1" w:rsidP="00196E98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bookmarkStart w:id="0" w:name="_Hlk71298787"/>
            <w:r w:rsidRPr="008635FC">
              <w:t xml:space="preserve">Noteikumos tiek precizēts termins </w:t>
            </w:r>
            <w:r>
              <w:t>„</w:t>
            </w:r>
            <w:r w:rsidRPr="008635FC">
              <w:t>ģimene (persona)</w:t>
            </w:r>
            <w:r>
              <w:t>”</w:t>
            </w:r>
            <w:r w:rsidRPr="008635FC">
              <w:t>, aizstājot to visā noteikumu tekstā ar terminu</w:t>
            </w:r>
            <w:proofErr w:type="gramStart"/>
            <w:r w:rsidRPr="008635FC">
              <w:t xml:space="preserve">  </w:t>
            </w:r>
            <w:proofErr w:type="gramEnd"/>
            <w:r w:rsidRPr="008635FC">
              <w:t xml:space="preserve">“mājsaimniecība”. SPSPL 1.panta 40.punktā tiek noteikts, ka mājsaimniecība </w:t>
            </w:r>
            <w:r w:rsidRPr="008635FC">
              <w:rPr>
                <w:b/>
              </w:rPr>
              <w:t xml:space="preserve">- </w:t>
            </w:r>
            <w:r w:rsidRPr="008635FC">
              <w:t>vairākas personas, kuras dzīvo vienā mājoklī un kopīgi sedz izdevumus, vai viena</w:t>
            </w:r>
            <w:r w:rsidRPr="008635FC">
              <w:rPr>
                <w:b/>
              </w:rPr>
              <w:t xml:space="preserve"> </w:t>
            </w:r>
            <w:r w:rsidRPr="008635FC">
              <w:t>persona, kura saimnieko atsevišķi.</w:t>
            </w:r>
            <w:r>
              <w:t xml:space="preserve"> Sakarā ar izmaiņām normatīvajos aktos noteikumos tiek precizēta kārtība pabalstu saņemšanai izglītojamajiem no daudzbērnu ģimenes, kurus piešķir neizvērtējot mājsaimniecības ienākumus un materiālo stāvokli. Izglītojamajiem no daudzbērnu ģimenes pabalstu </w:t>
            </w:r>
            <w:r w:rsidRPr="00AF1BAA">
              <w:rPr>
                <w:shd w:val="clear" w:color="auto" w:fill="FFFFFF"/>
              </w:rPr>
              <w:t>ēdināšanai vispārējās izglītības iestādē</w:t>
            </w:r>
            <w:r w:rsidRPr="00AF1BAA">
              <w:t xml:space="preserve">, </w:t>
            </w:r>
            <w:r>
              <w:rPr>
                <w:shd w:val="clear" w:color="auto" w:fill="FFFFFF"/>
              </w:rPr>
              <w:t xml:space="preserve">pabalstu </w:t>
            </w:r>
            <w:r w:rsidRPr="00AF1BAA">
              <w:rPr>
                <w:shd w:val="clear" w:color="auto" w:fill="FFFFFF"/>
              </w:rPr>
              <w:t>pirmsskolas izglītības iestādes ēdināšanas pakalpojuma apmaksai</w:t>
            </w:r>
            <w:r>
              <w:rPr>
                <w:shd w:val="clear" w:color="auto" w:fill="FFFFFF"/>
              </w:rPr>
              <w:t xml:space="preserve"> un</w:t>
            </w:r>
            <w:r w:rsidRPr="00AF1BAA">
              <w:t xml:space="preserve"> </w:t>
            </w:r>
            <w:r>
              <w:t xml:space="preserve">pabalstu </w:t>
            </w:r>
            <w:r w:rsidRPr="00AF1BAA">
              <w:t>izglītības iestādes profesionālās ievirzes programmas dalības maksas segšanai</w:t>
            </w:r>
            <w:r>
              <w:t xml:space="preserve"> piešķir līdz 31.12.2021. Tiek paplašināta pabalsta </w:t>
            </w:r>
            <w:r w:rsidRPr="00AF1BAA">
              <w:t>izglītības iestādes profesionālās ievirzes programmas dalības maksas segšanai</w:t>
            </w:r>
            <w:r>
              <w:t xml:space="preserve"> saņemšanas mērķa grupa. Minēto pabalstu turpmāk var saņemt izglītojamie no maznodrošinātas mājsaimniecības.</w:t>
            </w:r>
            <w:bookmarkEnd w:id="0"/>
          </w:p>
        </w:tc>
      </w:tr>
      <w:tr w:rsidR="004D08A1" w:rsidRPr="008635FC" w:rsidTr="00196E98">
        <w:trPr>
          <w:trHeight w:val="2678"/>
        </w:trPr>
        <w:tc>
          <w:tcPr>
            <w:tcW w:w="2942" w:type="dxa"/>
          </w:tcPr>
          <w:p w:rsidR="004D08A1" w:rsidRDefault="004D08A1" w:rsidP="00196E98">
            <w:pPr>
              <w:jc w:val="both"/>
            </w:pPr>
            <w:r w:rsidRPr="008635FC">
              <w:t>2.Projekta nepieciešamības pamatojums</w:t>
            </w:r>
          </w:p>
          <w:p w:rsidR="004D08A1" w:rsidRPr="00C51F4B" w:rsidRDefault="004D08A1" w:rsidP="00196E98"/>
        </w:tc>
        <w:tc>
          <w:tcPr>
            <w:tcW w:w="6097" w:type="dxa"/>
          </w:tcPr>
          <w:p w:rsidR="004D08A1" w:rsidRPr="008635FC" w:rsidRDefault="004D08A1" w:rsidP="00196E98">
            <w:pPr>
              <w:jc w:val="both"/>
              <w:rPr>
                <w:bCs/>
              </w:rPr>
            </w:pPr>
            <w:r w:rsidRPr="00AF1BAA">
              <w:rPr>
                <w:bCs/>
              </w:rPr>
              <w:t xml:space="preserve">Noteikumi nepieciešami, lai </w:t>
            </w:r>
            <w:r w:rsidRPr="00AF1BAA">
              <w:t>sakarā ar izmaiņām tiesiskajā regulējumā par sociālo palīdzību,</w:t>
            </w:r>
            <w:r w:rsidRPr="00AF1BAA">
              <w:rPr>
                <w:bCs/>
              </w:rPr>
              <w:t xml:space="preserve"> </w:t>
            </w:r>
            <w:r w:rsidRPr="00AF1BAA">
              <w:rPr>
                <w:shd w:val="clear" w:color="auto" w:fill="FFFFFF"/>
              </w:rPr>
              <w:t xml:space="preserve">precizētu noteikumu tiesisko izdošanas pamatu un </w:t>
            </w:r>
            <w:r>
              <w:rPr>
                <w:shd w:val="clear" w:color="auto" w:fill="FFFFFF"/>
              </w:rPr>
              <w:t>šādu</w:t>
            </w:r>
            <w:r w:rsidRPr="00AF1BAA">
              <w:rPr>
                <w:shd w:val="clear" w:color="auto" w:fill="FFFFFF"/>
              </w:rPr>
              <w:t xml:space="preserve"> Jelgavas pilsētas pašvaldības brīvprātīgas iniciatīvas</w:t>
            </w:r>
            <w:r>
              <w:rPr>
                <w:shd w:val="clear" w:color="auto" w:fill="FFFFFF"/>
              </w:rPr>
              <w:t xml:space="preserve"> </w:t>
            </w:r>
            <w:r w:rsidRPr="00AF1BAA">
              <w:rPr>
                <w:shd w:val="clear" w:color="auto" w:fill="FFFFFF"/>
              </w:rPr>
              <w:t>pabalst</w:t>
            </w:r>
            <w:r>
              <w:rPr>
                <w:shd w:val="clear" w:color="auto" w:fill="FFFFFF"/>
              </w:rPr>
              <w:t>u</w:t>
            </w:r>
            <w:r w:rsidRPr="00AF1BAA">
              <w:rPr>
                <w:shd w:val="clear" w:color="auto" w:fill="FFFFFF"/>
              </w:rPr>
              <w:t xml:space="preserve"> saņemšanas kārtību:  pabalst</w:t>
            </w:r>
            <w:r>
              <w:rPr>
                <w:shd w:val="clear" w:color="auto" w:fill="FFFFFF"/>
              </w:rPr>
              <w:t>am</w:t>
            </w:r>
            <w:r w:rsidRPr="00AF1BAA">
              <w:rPr>
                <w:shd w:val="clear" w:color="auto" w:fill="FFFFFF"/>
              </w:rPr>
              <w:t xml:space="preserve"> ēdināšanai vispārējās izglītības iestādē</w:t>
            </w:r>
            <w:r w:rsidRPr="00AF1BAA">
              <w:t xml:space="preserve">, </w:t>
            </w:r>
            <w:r w:rsidRPr="00AF1BAA">
              <w:rPr>
                <w:shd w:val="clear" w:color="auto" w:fill="FFFFFF"/>
              </w:rPr>
              <w:t>pabalst</w:t>
            </w:r>
            <w:r>
              <w:rPr>
                <w:shd w:val="clear" w:color="auto" w:fill="FFFFFF"/>
              </w:rPr>
              <w:t>am</w:t>
            </w:r>
            <w:r w:rsidRPr="00AF1BAA">
              <w:rPr>
                <w:shd w:val="clear" w:color="auto" w:fill="FFFFFF"/>
              </w:rPr>
              <w:t xml:space="preserve"> pirmsskolas izglītības iestādes ēdināšanas pakalpojuma apmaksai;</w:t>
            </w:r>
            <w:r w:rsidRPr="00AF1BAA">
              <w:t xml:space="preserve"> </w:t>
            </w:r>
            <w:r>
              <w:t xml:space="preserve">pabalstam </w:t>
            </w:r>
            <w:r w:rsidRPr="00AF1BAA">
              <w:t>izglītības iestādes profesionālās ievirzes programmas dalības maksas segšanai.</w:t>
            </w:r>
            <w:r>
              <w:t xml:space="preserve"> </w:t>
            </w:r>
            <w:r w:rsidRPr="00AF1BAA">
              <w:t xml:space="preserve">Noteikumi piemērojami </w:t>
            </w:r>
            <w:r>
              <w:t>ar</w:t>
            </w:r>
            <w:r w:rsidRPr="00AF1BAA">
              <w:t xml:space="preserve"> 2021.gada 1.jūlij</w:t>
            </w:r>
            <w:r>
              <w:t>u</w:t>
            </w:r>
            <w:r w:rsidRPr="00AF1BAA">
              <w:t>.</w:t>
            </w:r>
            <w:r w:rsidRPr="00AF1BAA">
              <w:rPr>
                <w:shd w:val="clear" w:color="auto" w:fill="FFFFFF"/>
              </w:rPr>
              <w:t xml:space="preserve"> </w:t>
            </w:r>
          </w:p>
        </w:tc>
      </w:tr>
      <w:tr w:rsidR="004D08A1" w:rsidRPr="008635FC" w:rsidTr="00196E98">
        <w:trPr>
          <w:trHeight w:val="132"/>
        </w:trPr>
        <w:tc>
          <w:tcPr>
            <w:tcW w:w="2942" w:type="dxa"/>
          </w:tcPr>
          <w:p w:rsidR="004D08A1" w:rsidRPr="008635FC" w:rsidRDefault="004D08A1" w:rsidP="00196E98">
            <w:pPr>
              <w:jc w:val="both"/>
            </w:pPr>
            <w:r w:rsidRPr="008635FC">
              <w:t>3.Informācija par plānoto projekta ietekmi uz pašvaldības budžetu</w:t>
            </w:r>
          </w:p>
          <w:p w:rsidR="004D08A1" w:rsidRPr="008635FC" w:rsidRDefault="004D08A1" w:rsidP="00196E98"/>
          <w:p w:rsidR="004D08A1" w:rsidRPr="008635FC" w:rsidRDefault="004D08A1" w:rsidP="00196E98"/>
        </w:tc>
        <w:tc>
          <w:tcPr>
            <w:tcW w:w="6097" w:type="dxa"/>
          </w:tcPr>
          <w:p w:rsidR="004D08A1" w:rsidRDefault="004D08A1" w:rsidP="00196E98">
            <w:pPr>
              <w:jc w:val="both"/>
            </w:pPr>
            <w:r w:rsidRPr="008635FC">
              <w:lastRenderedPageBreak/>
              <w:t xml:space="preserve">Noteikumu </w:t>
            </w:r>
            <w:r>
              <w:t>piemērošanai</w:t>
            </w:r>
            <w:r w:rsidRPr="008635FC">
              <w:t xml:space="preserve"> tiek plānoti naudas līdzekļi </w:t>
            </w:r>
            <w:r>
              <w:t>Jelgavas pilsētas pašvaldības iestādes “Jelgavas sociālo lietu pārvalde”</w:t>
            </w:r>
            <w:r w:rsidRPr="008635FC">
              <w:t xml:space="preserve"> 2021.gada budžetā. Tiek prognozēts, ka laika periodā no 01.07.2021. līdz 31.12.2021. </w:t>
            </w:r>
            <w:r w:rsidRPr="00C23C62">
              <w:t xml:space="preserve">Jelgavas pilsētas </w:t>
            </w:r>
            <w:r w:rsidRPr="00C23C62">
              <w:lastRenderedPageBreak/>
              <w:t xml:space="preserve">pašvaldības </w:t>
            </w:r>
            <w:r>
              <w:t xml:space="preserve">brīvprātīgās iniciatīvas </w:t>
            </w:r>
            <w:r>
              <w:rPr>
                <w:color w:val="000000" w:themeColor="text1"/>
              </w:rPr>
              <w:t xml:space="preserve">pabalstiem izglītojamajiem no daudzbērnu ģimenes </w:t>
            </w:r>
            <w:r w:rsidRPr="005B7124">
              <w:rPr>
                <w:color w:val="000000" w:themeColor="text1"/>
              </w:rPr>
              <w:t>ir nepieciešami naudas līdzekļi par kopējo summu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 xml:space="preserve">421800,00 </w:t>
            </w:r>
            <w:proofErr w:type="spellStart"/>
            <w:r w:rsidRPr="005B7124">
              <w:rPr>
                <w:i/>
                <w:color w:val="000000" w:themeColor="text1"/>
              </w:rPr>
              <w:t>euro</w:t>
            </w:r>
            <w:proofErr w:type="spellEnd"/>
            <w:r w:rsidRPr="005B7124">
              <w:rPr>
                <w:i/>
                <w:color w:val="000000" w:themeColor="text1"/>
              </w:rPr>
              <w:t xml:space="preserve">, </w:t>
            </w:r>
            <w:r w:rsidRPr="005B7124">
              <w:rPr>
                <w:color w:val="000000" w:themeColor="text1"/>
              </w:rPr>
              <w:t>tajā skaitā:</w:t>
            </w:r>
            <w:r>
              <w:rPr>
                <w:color w:val="000000" w:themeColor="text1"/>
              </w:rPr>
              <w:t xml:space="preserve"> pabalstam </w:t>
            </w:r>
            <w:r w:rsidRPr="0065072F">
              <w:t>pirmsskolas izglītības iestādes ēdināšanas pakalpojuma apmaksai izglītojamajam no daudzbērnu ģimenes</w:t>
            </w:r>
            <w:r>
              <w:t xml:space="preserve"> </w:t>
            </w:r>
            <w:r w:rsidRPr="00A53549">
              <w:rPr>
                <w:bCs/>
                <w:iCs/>
              </w:rPr>
              <w:t>282000</w:t>
            </w:r>
            <w:r>
              <w:rPr>
                <w:bCs/>
                <w:iCs/>
              </w:rPr>
              <w:t xml:space="preserve">,00 </w:t>
            </w:r>
            <w:proofErr w:type="spellStart"/>
            <w:r w:rsidRPr="005B7124">
              <w:rPr>
                <w:i/>
                <w:color w:val="000000" w:themeColor="text1"/>
              </w:rPr>
              <w:t>euro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>
              <w:t xml:space="preserve">(940 personu skaits x 50,00 </w:t>
            </w:r>
            <w:proofErr w:type="spellStart"/>
            <w:r w:rsidRPr="0067013E">
              <w:rPr>
                <w:i/>
                <w:iCs/>
              </w:rPr>
              <w:t>euro</w:t>
            </w:r>
            <w:proofErr w:type="spellEnd"/>
            <w:r>
              <w:rPr>
                <w:i/>
                <w:iCs/>
              </w:rPr>
              <w:t xml:space="preserve"> </w:t>
            </w:r>
            <w:r w:rsidRPr="0067013E">
              <w:t>x 6 mēneši),</w:t>
            </w:r>
            <w:r>
              <w:t xml:space="preserve"> </w:t>
            </w:r>
            <w:r w:rsidRPr="0065072F">
              <w:t>pabalsts ēdināšanai vispārējās izglītības iestādē izglītojamajam no daudzbērnu ģimenes</w:t>
            </w:r>
            <w:proofErr w:type="gramStart"/>
            <w:r>
              <w:t xml:space="preserve">  </w:t>
            </w:r>
            <w:proofErr w:type="gramEnd"/>
            <w:r w:rsidRPr="005E1327">
              <w:rPr>
                <w:bCs/>
                <w:iCs/>
              </w:rPr>
              <w:t>123600</w:t>
            </w:r>
            <w:r>
              <w:rPr>
                <w:bCs/>
                <w:iCs/>
              </w:rPr>
              <w:t xml:space="preserve">,00 </w:t>
            </w:r>
            <w:proofErr w:type="spellStart"/>
            <w:r w:rsidRPr="005B7124">
              <w:rPr>
                <w:i/>
                <w:color w:val="000000" w:themeColor="text1"/>
              </w:rPr>
              <w:t>euro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>
              <w:t xml:space="preserve">(1030 personas x 30,00 </w:t>
            </w:r>
            <w:proofErr w:type="spellStart"/>
            <w:r w:rsidRPr="0067013E">
              <w:rPr>
                <w:i/>
                <w:iCs/>
              </w:rPr>
              <w:t>euro</w:t>
            </w:r>
            <w:proofErr w:type="spellEnd"/>
            <w:r>
              <w:t xml:space="preserve"> vidēji mēnesī x 4 mēneši), </w:t>
            </w:r>
            <w:r w:rsidRPr="0065072F">
              <w:rPr>
                <w:bCs/>
              </w:rPr>
              <w:t>p</w:t>
            </w:r>
            <w:r w:rsidRPr="0065072F">
              <w:t>abalst</w:t>
            </w:r>
            <w:r>
              <w:t>am</w:t>
            </w:r>
            <w:r w:rsidRPr="0065072F">
              <w:t xml:space="preserve"> profesionālās ievirzes izglītības programmas dalības maksas segšanai izglītojamajam no daudzbērnu ģimenes</w:t>
            </w:r>
            <w:r>
              <w:t xml:space="preserve"> </w:t>
            </w:r>
            <w:r w:rsidRPr="005E1327">
              <w:rPr>
                <w:bCs/>
                <w:iCs/>
              </w:rPr>
              <w:t>16200</w:t>
            </w:r>
            <w:r>
              <w:rPr>
                <w:bCs/>
                <w:iCs/>
              </w:rPr>
              <w:t xml:space="preserve">,00 </w:t>
            </w:r>
            <w:proofErr w:type="spellStart"/>
            <w:r w:rsidRPr="005B7124">
              <w:rPr>
                <w:i/>
                <w:color w:val="000000" w:themeColor="text1"/>
              </w:rPr>
              <w:t>euro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Pr="0067013E">
              <w:rPr>
                <w:iCs/>
                <w:color w:val="000000" w:themeColor="text1"/>
              </w:rPr>
              <w:t>(</w:t>
            </w:r>
            <w:r>
              <w:rPr>
                <w:iCs/>
                <w:color w:val="000000" w:themeColor="text1"/>
              </w:rPr>
              <w:t>27</w:t>
            </w:r>
            <w:r w:rsidRPr="005E1327">
              <w:rPr>
                <w:bCs/>
                <w:iCs/>
              </w:rPr>
              <w:t>0</w:t>
            </w:r>
            <w:r>
              <w:t xml:space="preserve"> personas x 15,00 </w:t>
            </w:r>
            <w:proofErr w:type="spellStart"/>
            <w:r w:rsidRPr="0067013E">
              <w:rPr>
                <w:i/>
                <w:iCs/>
              </w:rPr>
              <w:t>euro</w:t>
            </w:r>
            <w:proofErr w:type="spellEnd"/>
            <w:r>
              <w:t xml:space="preserve"> mēnesī x 4 mēneši). </w:t>
            </w:r>
            <w:r w:rsidRPr="00560123">
              <w:t xml:space="preserve">Pabalstam profesionālās ievirzes izglītības programmas dalības maksas segšanai izglītojamajam no maznodrošinātas mājsaimniecības papildus ir nepieciešams </w:t>
            </w:r>
            <w:r w:rsidRPr="00560123">
              <w:rPr>
                <w:bCs/>
                <w:iCs/>
              </w:rPr>
              <w:t xml:space="preserve">1800,00 </w:t>
            </w:r>
            <w:proofErr w:type="spellStart"/>
            <w:r w:rsidRPr="00560123">
              <w:rPr>
                <w:i/>
              </w:rPr>
              <w:t>euro</w:t>
            </w:r>
            <w:proofErr w:type="spellEnd"/>
            <w:r w:rsidRPr="00560123">
              <w:rPr>
                <w:i/>
              </w:rPr>
              <w:t xml:space="preserve"> </w:t>
            </w:r>
            <w:r w:rsidRPr="00560123">
              <w:rPr>
                <w:iCs/>
              </w:rPr>
              <w:t>(30</w:t>
            </w:r>
            <w:r w:rsidRPr="00560123">
              <w:t xml:space="preserve"> personas x 15,00 </w:t>
            </w:r>
            <w:proofErr w:type="spellStart"/>
            <w:r w:rsidRPr="00560123">
              <w:rPr>
                <w:i/>
                <w:iCs/>
              </w:rPr>
              <w:t>euro</w:t>
            </w:r>
            <w:proofErr w:type="spellEnd"/>
            <w:r w:rsidRPr="00560123">
              <w:t xml:space="preserve"> mēnesī x 4 mēneši).</w:t>
            </w:r>
          </w:p>
          <w:p w:rsidR="004D08A1" w:rsidRPr="008635FC" w:rsidRDefault="004D08A1" w:rsidP="00196E98">
            <w:pPr>
              <w:jc w:val="both"/>
            </w:pPr>
          </w:p>
        </w:tc>
      </w:tr>
      <w:tr w:rsidR="004D08A1" w:rsidRPr="008635FC" w:rsidTr="00196E98">
        <w:trPr>
          <w:trHeight w:val="577"/>
        </w:trPr>
        <w:tc>
          <w:tcPr>
            <w:tcW w:w="2942" w:type="dxa"/>
          </w:tcPr>
          <w:p w:rsidR="004D08A1" w:rsidRPr="008635FC" w:rsidRDefault="004D08A1" w:rsidP="00196E98">
            <w:pPr>
              <w:jc w:val="both"/>
            </w:pPr>
            <w:r w:rsidRPr="008635FC">
              <w:lastRenderedPageBreak/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:rsidR="004D08A1" w:rsidRPr="008635FC" w:rsidRDefault="004D08A1" w:rsidP="00196E98">
            <w:pPr>
              <w:jc w:val="both"/>
              <w:rPr>
                <w:iCs/>
                <w:lang w:eastAsia="en-US"/>
              </w:rPr>
            </w:pPr>
            <w:r w:rsidRPr="008635FC">
              <w:rPr>
                <w:iCs/>
                <w:lang w:eastAsia="en-US"/>
              </w:rPr>
              <w:t>Nav.</w:t>
            </w:r>
          </w:p>
        </w:tc>
      </w:tr>
      <w:tr w:rsidR="004D08A1" w:rsidRPr="008635FC" w:rsidTr="00196E98">
        <w:tc>
          <w:tcPr>
            <w:tcW w:w="2942" w:type="dxa"/>
          </w:tcPr>
          <w:p w:rsidR="004D08A1" w:rsidRPr="008635FC" w:rsidRDefault="004D08A1" w:rsidP="00196E98">
            <w:pPr>
              <w:jc w:val="both"/>
            </w:pPr>
            <w:r w:rsidRPr="008635FC">
              <w:t>5.Informācija par plānoto projekta ietekmi uz administratīvajām procedūrām</w:t>
            </w:r>
          </w:p>
        </w:tc>
        <w:tc>
          <w:tcPr>
            <w:tcW w:w="6097" w:type="dxa"/>
          </w:tcPr>
          <w:p w:rsidR="004D08A1" w:rsidRPr="008635FC" w:rsidRDefault="004D08A1" w:rsidP="00196E9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8635FC">
              <w:rPr>
                <w:szCs w:val="24"/>
              </w:rPr>
              <w:t>Nav.</w:t>
            </w:r>
          </w:p>
        </w:tc>
      </w:tr>
      <w:tr w:rsidR="004D08A1" w:rsidRPr="008635FC" w:rsidTr="00196E98">
        <w:trPr>
          <w:trHeight w:val="788"/>
        </w:trPr>
        <w:tc>
          <w:tcPr>
            <w:tcW w:w="2942" w:type="dxa"/>
          </w:tcPr>
          <w:p w:rsidR="004D08A1" w:rsidRPr="008635FC" w:rsidRDefault="004D08A1" w:rsidP="00196E98">
            <w:pPr>
              <w:jc w:val="both"/>
            </w:pPr>
            <w:r w:rsidRPr="008635FC">
              <w:t>6.Informācija par konsultācijām ar privātpersonām</w:t>
            </w:r>
          </w:p>
        </w:tc>
        <w:tc>
          <w:tcPr>
            <w:tcW w:w="6097" w:type="dxa"/>
          </w:tcPr>
          <w:p w:rsidR="004D08A1" w:rsidRPr="008635FC" w:rsidRDefault="004D08A1" w:rsidP="00196E98">
            <w:pPr>
              <w:jc w:val="both"/>
            </w:pPr>
            <w:r w:rsidRPr="008635FC">
              <w:t>Nav notikušas.</w:t>
            </w:r>
          </w:p>
        </w:tc>
      </w:tr>
    </w:tbl>
    <w:p w:rsidR="004D08A1" w:rsidRDefault="004D08A1" w:rsidP="004D08A1"/>
    <w:p w:rsidR="004D08A1" w:rsidRDefault="004D08A1" w:rsidP="004D08A1"/>
    <w:p w:rsidR="004D08A1" w:rsidRPr="008635FC" w:rsidRDefault="004D08A1" w:rsidP="004D08A1">
      <w:pPr>
        <w:ind w:right="-52"/>
      </w:pPr>
      <w:r w:rsidRPr="008635FC">
        <w:t xml:space="preserve">Jelgavas pilsētas domes priekšsēdētājs </w:t>
      </w:r>
      <w:r w:rsidRPr="008635FC">
        <w:tab/>
      </w:r>
      <w:proofErr w:type="gramStart"/>
      <w:r>
        <w:t xml:space="preserve">                    </w:t>
      </w:r>
      <w:bookmarkStart w:id="1" w:name="_GoBack"/>
      <w:bookmarkEnd w:id="1"/>
      <w:proofErr w:type="gramEnd"/>
      <w:r w:rsidRPr="008635FC">
        <w:tab/>
      </w:r>
      <w:r>
        <w:tab/>
      </w:r>
      <w:r w:rsidRPr="008635FC">
        <w:t>A. Rāviņš</w:t>
      </w:r>
    </w:p>
    <w:p w:rsidR="006B5D9E" w:rsidRDefault="006B5D9E"/>
    <w:sectPr w:rsidR="006B5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A1"/>
    <w:rsid w:val="004D08A1"/>
    <w:rsid w:val="006B5D9E"/>
    <w:rsid w:val="008B0F75"/>
    <w:rsid w:val="00D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8A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8A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8A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8A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8A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8A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08A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08A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08A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08A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D08A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D08A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D08A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D08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D08A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4D08A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D08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D08A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rsid w:val="004D08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8A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8A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8A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8A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8A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8A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08A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08A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08A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08A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D08A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D08A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D08A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D08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D08A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4D08A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D08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D08A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rsid w:val="004D08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likumi.lv/ta/id/57255-par-pasvaldib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2021-06-15T16:24:00Z</dcterms:created>
  <dcterms:modified xsi:type="dcterms:W3CDTF">2021-06-15T16:24:00Z</dcterms:modified>
</cp:coreProperties>
</file>