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898" w:rsidRPr="00332444" w:rsidRDefault="00807898" w:rsidP="00F02210">
      <w:pPr>
        <w:jc w:val="center"/>
        <w:rPr>
          <w:b/>
        </w:rPr>
      </w:pPr>
      <w:r w:rsidRPr="00332444">
        <w:rPr>
          <w:b/>
        </w:rPr>
        <w:t>JELGAVAS VALSTSPILSĒTAS PAŠVALDĪBAS 202</w:t>
      </w:r>
      <w:r>
        <w:rPr>
          <w:b/>
        </w:rPr>
        <w:t>2</w:t>
      </w:r>
      <w:r w:rsidRPr="00332444">
        <w:rPr>
          <w:b/>
        </w:rPr>
        <w:t xml:space="preserve">. GADA </w:t>
      </w:r>
      <w:r w:rsidR="00FF2A0E">
        <w:rPr>
          <w:b/>
        </w:rPr>
        <w:t>25</w:t>
      </w:r>
      <w:r w:rsidR="00F02210">
        <w:rPr>
          <w:b/>
        </w:rPr>
        <w:t>.</w:t>
      </w:r>
      <w:r w:rsidR="00FF2A0E">
        <w:rPr>
          <w:b/>
        </w:rPr>
        <w:t xml:space="preserve"> </w:t>
      </w:r>
      <w:r w:rsidR="00F02210">
        <w:rPr>
          <w:b/>
        </w:rPr>
        <w:t xml:space="preserve">MARTA </w:t>
      </w:r>
      <w:r w:rsidR="00E614B4">
        <w:rPr>
          <w:b/>
        </w:rPr>
        <w:t>SAISTOŠ</w:t>
      </w:r>
      <w:r w:rsidR="00F02210">
        <w:rPr>
          <w:b/>
        </w:rPr>
        <w:t>O</w:t>
      </w:r>
      <w:r w:rsidRPr="00332444">
        <w:rPr>
          <w:b/>
        </w:rPr>
        <w:t xml:space="preserve"> NOTEIKUM</w:t>
      </w:r>
      <w:r w:rsidR="00F02210">
        <w:rPr>
          <w:b/>
        </w:rPr>
        <w:t>U</w:t>
      </w:r>
      <w:r w:rsidRPr="00332444">
        <w:rPr>
          <w:b/>
        </w:rPr>
        <w:t xml:space="preserve"> NR.</w:t>
      </w:r>
      <w:r w:rsidR="009006B3">
        <w:rPr>
          <w:b/>
        </w:rPr>
        <w:t>22-6</w:t>
      </w:r>
      <w:r w:rsidRPr="00332444">
        <w:rPr>
          <w:b/>
        </w:rPr>
        <w:t xml:space="preserve">   </w:t>
      </w:r>
    </w:p>
    <w:p w:rsidR="00F02210" w:rsidRDefault="00807898" w:rsidP="00F02210">
      <w:pPr>
        <w:jc w:val="center"/>
        <w:rPr>
          <w:b/>
        </w:rPr>
      </w:pPr>
      <w:r w:rsidRPr="00010112">
        <w:rPr>
          <w:b/>
        </w:rPr>
        <w:t>“</w:t>
      </w:r>
      <w:r w:rsidR="00AE4E67">
        <w:rPr>
          <w:b/>
        </w:rPr>
        <w:t>PAR JELGAVAS VALST</w:t>
      </w:r>
      <w:r w:rsidR="00D26674">
        <w:rPr>
          <w:b/>
        </w:rPr>
        <w:t>S</w:t>
      </w:r>
      <w:r w:rsidR="00AE4E67">
        <w:rPr>
          <w:b/>
        </w:rPr>
        <w:t xml:space="preserve">PILSĒTAS </w:t>
      </w:r>
      <w:r w:rsidR="00F02210">
        <w:rPr>
          <w:b/>
        </w:rPr>
        <w:t xml:space="preserve">PAŠVALDĪBAI PIEDEROŠO DZĪVOJAMO </w:t>
      </w:r>
      <w:r w:rsidR="00AE4E67">
        <w:rPr>
          <w:b/>
        </w:rPr>
        <w:t>TELPU IZĪRĒŠANAS KĀRTĪBU</w:t>
      </w:r>
      <w:r w:rsidRPr="00010112">
        <w:rPr>
          <w:b/>
        </w:rPr>
        <w:t>”</w:t>
      </w:r>
      <w:r w:rsidR="00F02210">
        <w:rPr>
          <w:b/>
        </w:rPr>
        <w:t xml:space="preserve"> </w:t>
      </w:r>
    </w:p>
    <w:p w:rsidR="006A5908" w:rsidRDefault="00F02210" w:rsidP="00F02210">
      <w:pPr>
        <w:jc w:val="center"/>
        <w:rPr>
          <w:b/>
        </w:rPr>
      </w:pPr>
      <w:r>
        <w:rPr>
          <w:b/>
        </w:rPr>
        <w:t>PASKAIDROJUMA RAKSTS</w:t>
      </w:r>
    </w:p>
    <w:p w:rsidR="00F02210" w:rsidRDefault="00F02210" w:rsidP="00E15BAB">
      <w:pPr>
        <w:jc w:val="center"/>
      </w:pPr>
    </w:p>
    <w:tbl>
      <w:tblPr>
        <w:tblStyle w:val="TableGrid"/>
        <w:tblW w:w="5000" w:type="pct"/>
        <w:tblLook w:val="04A0" w:firstRow="1" w:lastRow="0" w:firstColumn="1" w:lastColumn="0" w:noHBand="0" w:noVBand="1"/>
      </w:tblPr>
      <w:tblGrid>
        <w:gridCol w:w="2446"/>
        <w:gridCol w:w="6615"/>
      </w:tblGrid>
      <w:tr w:rsidR="00E15BAB" w:rsidRPr="00E15BAB" w:rsidTr="00F02210">
        <w:tc>
          <w:tcPr>
            <w:tcW w:w="1350" w:type="pct"/>
            <w:hideMark/>
          </w:tcPr>
          <w:p w:rsidR="00E15BAB" w:rsidRPr="00F02210" w:rsidRDefault="00E15BAB" w:rsidP="00E15BAB">
            <w:pPr>
              <w:jc w:val="center"/>
              <w:rPr>
                <w:b/>
              </w:rPr>
            </w:pPr>
            <w:r w:rsidRPr="00F02210">
              <w:rPr>
                <w:b/>
              </w:rPr>
              <w:t>Paskaidrojuma raksta sadaļas</w:t>
            </w:r>
          </w:p>
        </w:tc>
        <w:tc>
          <w:tcPr>
            <w:tcW w:w="3650" w:type="pct"/>
            <w:vAlign w:val="center"/>
            <w:hideMark/>
          </w:tcPr>
          <w:p w:rsidR="00E15BAB" w:rsidRPr="00F02210" w:rsidRDefault="00E15BAB" w:rsidP="00F02210">
            <w:pPr>
              <w:jc w:val="center"/>
              <w:rPr>
                <w:b/>
              </w:rPr>
            </w:pPr>
            <w:r w:rsidRPr="00F02210">
              <w:rPr>
                <w:b/>
              </w:rPr>
              <w:t>Norādāmā informācija</w:t>
            </w:r>
          </w:p>
        </w:tc>
      </w:tr>
      <w:tr w:rsidR="00E15BAB" w:rsidRPr="00E15BAB" w:rsidTr="00F02210">
        <w:tc>
          <w:tcPr>
            <w:tcW w:w="1350" w:type="pct"/>
            <w:hideMark/>
          </w:tcPr>
          <w:p w:rsidR="00E15BAB" w:rsidRPr="00E15BAB" w:rsidRDefault="00E15BAB" w:rsidP="00E15BAB">
            <w:r w:rsidRPr="00E15BAB">
              <w:t>1. Projekta nepieciešamības pamatojums</w:t>
            </w:r>
          </w:p>
        </w:tc>
        <w:tc>
          <w:tcPr>
            <w:tcW w:w="3650" w:type="pct"/>
            <w:hideMark/>
          </w:tcPr>
          <w:p w:rsidR="0056192B" w:rsidRDefault="00E15BAB" w:rsidP="00807898">
            <w:pPr>
              <w:jc w:val="both"/>
            </w:pPr>
            <w:r w:rsidRPr="00E15BAB">
              <w:t xml:space="preserve">Atbilstoši </w:t>
            </w:r>
            <w:hyperlink r:id="rId7" w:tgtFrame="_blank" w:history="1">
              <w:r w:rsidRPr="00B15C84">
                <w:t>Dzīvojamo telpu īres likuma</w:t>
              </w:r>
            </w:hyperlink>
            <w:r w:rsidRPr="00B15C84">
              <w:t xml:space="preserve"> </w:t>
            </w:r>
            <w:hyperlink r:id="rId8" w:anchor="p32" w:tgtFrame="_blank" w:history="1">
              <w:r w:rsidRPr="00B15C84">
                <w:t>32. panta</w:t>
              </w:r>
            </w:hyperlink>
            <w:r w:rsidRPr="00E15BAB">
              <w:t xml:space="preserve"> pirmajai daļai pašvaldības dome izdod saistošos noteikumus, kuros nosaka pašvaldībai piederošas dzīvojamās telpas izīrēšanas kārtību un nosacījumus, kā arī termiņu, uz kādu slēdzams dzīvojamās telpas īres līgums, bet ne ilgāku par 10 gadiem.</w:t>
            </w:r>
          </w:p>
          <w:p w:rsidR="00E15BAB" w:rsidRPr="00E15BAB" w:rsidRDefault="00F27FA4" w:rsidP="00AE4E67">
            <w:pPr>
              <w:jc w:val="both"/>
            </w:pPr>
            <w:r>
              <w:t xml:space="preserve">Ievērojot minēto ir izstrādāti </w:t>
            </w:r>
            <w:r w:rsidR="00AE4E67">
              <w:t xml:space="preserve">Jelgavas </w:t>
            </w:r>
            <w:proofErr w:type="spellStart"/>
            <w:r w:rsidR="00AE4E67">
              <w:t>valstspilsētas</w:t>
            </w:r>
            <w:proofErr w:type="spellEnd"/>
            <w:r w:rsidR="00AE4E67">
              <w:t xml:space="preserve"> pašvaldības s</w:t>
            </w:r>
            <w:r w:rsidR="0056192B">
              <w:t>aistošie noteikumi “</w:t>
            </w:r>
            <w:r w:rsidR="00AE4E67">
              <w:t xml:space="preserve">Par </w:t>
            </w:r>
            <w:r w:rsidR="0056192B">
              <w:t xml:space="preserve">Jelgavas </w:t>
            </w:r>
            <w:proofErr w:type="spellStart"/>
            <w:r w:rsidR="0056192B">
              <w:t>valstspilsētas</w:t>
            </w:r>
            <w:proofErr w:type="spellEnd"/>
            <w:r w:rsidR="0056192B">
              <w:t xml:space="preserve"> pašvaldībai piederoš</w:t>
            </w:r>
            <w:r w:rsidR="00AE4E67">
              <w:t>o</w:t>
            </w:r>
            <w:r w:rsidR="0056192B">
              <w:t xml:space="preserve"> dzīvojam</w:t>
            </w:r>
            <w:r w:rsidR="00AE4E67">
              <w:t>o</w:t>
            </w:r>
            <w:r w:rsidR="0056192B">
              <w:t xml:space="preserve"> telp</w:t>
            </w:r>
            <w:r w:rsidR="00AE4E67">
              <w:t>u</w:t>
            </w:r>
            <w:r w:rsidR="0056192B">
              <w:t xml:space="preserve"> izīrēšanas kārtīb</w:t>
            </w:r>
            <w:r w:rsidR="00AE4E67">
              <w:t>u</w:t>
            </w:r>
            <w:r w:rsidR="0056192B">
              <w:t>”</w:t>
            </w:r>
            <w:r w:rsidR="007B19C0">
              <w:t xml:space="preserve"> (turpmāk – Saistošie noteikumi)</w:t>
            </w:r>
            <w:r>
              <w:t>, kuri</w:t>
            </w:r>
            <w:r w:rsidR="0056192B">
              <w:t xml:space="preserve"> nosaka Jelgavas </w:t>
            </w:r>
            <w:proofErr w:type="spellStart"/>
            <w:r w:rsidR="0056192B">
              <w:t>valst</w:t>
            </w:r>
            <w:r w:rsidR="00D26674">
              <w:t>s</w:t>
            </w:r>
            <w:r w:rsidR="0056192B">
              <w:t>pilsētas</w:t>
            </w:r>
            <w:proofErr w:type="spellEnd"/>
            <w:r w:rsidR="0056192B">
              <w:t xml:space="preserve"> pašvaldība</w:t>
            </w:r>
            <w:r w:rsidR="007B19C0">
              <w:t>s</w:t>
            </w:r>
            <w:r w:rsidR="0056192B">
              <w:t xml:space="preserve"> (turpmāk – Pašvaldība)</w:t>
            </w:r>
            <w:r w:rsidR="007B19C0">
              <w:t xml:space="preserve"> īpašumā vai valdījumā esošas dzīvojamās telpas (turpmāk – Dzīvojamā telpa)</w:t>
            </w:r>
            <w:r w:rsidR="00347A64">
              <w:t>, kura nav izīrēta kā palīdzība dzīvokļu jautājumu risināšanā,</w:t>
            </w:r>
            <w:r w:rsidR="007B19C0">
              <w:t xml:space="preserve"> izīrēšanas kārtību, nosacījumus un termiņu uz kādu slēdzams Dzīvojamās telpas īres līgums.</w:t>
            </w:r>
          </w:p>
        </w:tc>
      </w:tr>
      <w:tr w:rsidR="00E15BAB" w:rsidRPr="00E15BAB" w:rsidTr="00F02210">
        <w:tc>
          <w:tcPr>
            <w:tcW w:w="1350" w:type="pct"/>
            <w:hideMark/>
          </w:tcPr>
          <w:p w:rsidR="00E15BAB" w:rsidRPr="00E15BAB" w:rsidRDefault="00E15BAB" w:rsidP="00E15BAB">
            <w:r w:rsidRPr="00E15BAB">
              <w:t>2. Īss projekta izklāsts</w:t>
            </w:r>
          </w:p>
        </w:tc>
        <w:tc>
          <w:tcPr>
            <w:tcW w:w="3650" w:type="pct"/>
            <w:hideMark/>
          </w:tcPr>
          <w:p w:rsidR="00E15BAB" w:rsidRDefault="00E15BAB" w:rsidP="003779EE">
            <w:pPr>
              <w:jc w:val="both"/>
            </w:pPr>
            <w:r w:rsidRPr="00E15BAB">
              <w:t xml:space="preserve">Saistošie noteikumi </w:t>
            </w:r>
            <w:r w:rsidR="00B15C84">
              <w:t xml:space="preserve">nosaka </w:t>
            </w:r>
            <w:r w:rsidR="003779EE">
              <w:t>Pašvaldības D</w:t>
            </w:r>
            <w:r w:rsidR="00B15C84">
              <w:t>zīvojamās telpas</w:t>
            </w:r>
            <w:r w:rsidR="007B19C0">
              <w:t xml:space="preserve"> </w:t>
            </w:r>
            <w:r w:rsidR="003779EE">
              <w:t>īres</w:t>
            </w:r>
            <w:r w:rsidR="007B19C0">
              <w:t xml:space="preserve"> </w:t>
            </w:r>
            <w:r w:rsidR="003779EE">
              <w:t xml:space="preserve"> līguma slēgšanas kārtību, īres līguma slēgšanas nosacījumus un īres līguma termiņu. </w:t>
            </w:r>
          </w:p>
          <w:p w:rsidR="0056192B" w:rsidRPr="00E15BAB" w:rsidRDefault="0056192B" w:rsidP="00347A64">
            <w:pPr>
              <w:jc w:val="both"/>
            </w:pPr>
            <w:r>
              <w:t xml:space="preserve">Saistošie noteikumi paredz tiesisko regulējumu gadījumos, ja iestājusies Pašvaldības Dzīvojamās telpas </w:t>
            </w:r>
            <w:r w:rsidR="00347A64">
              <w:t>īrnieka nāve vai īrnieks</w:t>
            </w:r>
            <w:r w:rsidR="007B19C0">
              <w:t xml:space="preserve"> </w:t>
            </w:r>
            <w:r w:rsidR="00347A64">
              <w:t>mainījis dzīvesvietu</w:t>
            </w:r>
            <w:r w:rsidR="007B19C0">
              <w:t xml:space="preserve"> </w:t>
            </w:r>
            <w:r>
              <w:t xml:space="preserve">un īrnieka ģimenes loceklis </w:t>
            </w:r>
            <w:r w:rsidR="00347A64">
              <w:t>lūdz</w:t>
            </w:r>
            <w:r>
              <w:t xml:space="preserve"> Dzīvojamās telpas īre</w:t>
            </w:r>
            <w:r w:rsidR="007B19C0">
              <w:t xml:space="preserve">s līguma noslēgšanu </w:t>
            </w:r>
            <w:r w:rsidR="00347A64">
              <w:t xml:space="preserve">ar viņu </w:t>
            </w:r>
            <w:r w:rsidR="007B19C0">
              <w:t>iepriekšējā</w:t>
            </w:r>
            <w:r>
              <w:t xml:space="preserve"> īrnieka vietā.</w:t>
            </w:r>
          </w:p>
        </w:tc>
      </w:tr>
      <w:tr w:rsidR="00E15BAB" w:rsidRPr="00E15BAB" w:rsidTr="00F02210">
        <w:tc>
          <w:tcPr>
            <w:tcW w:w="1350" w:type="pct"/>
            <w:hideMark/>
          </w:tcPr>
          <w:p w:rsidR="00E15BAB" w:rsidRPr="00E15BAB" w:rsidRDefault="00E15BAB" w:rsidP="00E15BAB">
            <w:r w:rsidRPr="00E15BAB">
              <w:t>3. Informācija par plānoto projekta ietekmi uz pašvaldības budžetu</w:t>
            </w:r>
          </w:p>
        </w:tc>
        <w:tc>
          <w:tcPr>
            <w:tcW w:w="3650" w:type="pct"/>
            <w:hideMark/>
          </w:tcPr>
          <w:p w:rsidR="00E15BAB" w:rsidRPr="00E15BAB" w:rsidRDefault="00E15BAB" w:rsidP="00E15BAB">
            <w:r w:rsidRPr="00E15BAB">
              <w:t>Saistošie noteikumi pašvaldības budžetu neietekmē.</w:t>
            </w:r>
          </w:p>
        </w:tc>
      </w:tr>
      <w:tr w:rsidR="00E15BAB" w:rsidRPr="00E15BAB" w:rsidTr="00F02210">
        <w:tc>
          <w:tcPr>
            <w:tcW w:w="1350" w:type="pct"/>
            <w:hideMark/>
          </w:tcPr>
          <w:p w:rsidR="00E15BAB" w:rsidRPr="00E15BAB" w:rsidRDefault="00E15BAB" w:rsidP="00E15BAB">
            <w:r w:rsidRPr="00E15BAB">
              <w:t>4. Informācija par plānoto projekta ietekmi uz uzņēmējdarbības vidi pašvaldības teritorijā</w:t>
            </w:r>
          </w:p>
        </w:tc>
        <w:tc>
          <w:tcPr>
            <w:tcW w:w="3650" w:type="pct"/>
            <w:hideMark/>
          </w:tcPr>
          <w:p w:rsidR="00E15BAB" w:rsidRPr="00E15BAB" w:rsidRDefault="00E15BAB" w:rsidP="00E15BAB">
            <w:r w:rsidRPr="00E15BAB">
              <w:t>Saistošie noteikumi uzņēmējdarbības vidi neietekmē.</w:t>
            </w:r>
          </w:p>
        </w:tc>
      </w:tr>
      <w:tr w:rsidR="00E15BAB" w:rsidRPr="00E15BAB" w:rsidTr="00F02210">
        <w:tc>
          <w:tcPr>
            <w:tcW w:w="1350" w:type="pct"/>
            <w:hideMark/>
          </w:tcPr>
          <w:p w:rsidR="00E15BAB" w:rsidRPr="00E15BAB" w:rsidRDefault="00E15BAB" w:rsidP="00E15BAB">
            <w:r w:rsidRPr="00E15BAB">
              <w:t>5. Informācija par administratīvajām procedūrām</w:t>
            </w:r>
          </w:p>
        </w:tc>
        <w:tc>
          <w:tcPr>
            <w:tcW w:w="3650" w:type="pct"/>
            <w:hideMark/>
          </w:tcPr>
          <w:p w:rsidR="00807898" w:rsidRPr="00E15BAB" w:rsidRDefault="00807898" w:rsidP="001C5910">
            <w:pPr>
              <w:jc w:val="both"/>
            </w:pPr>
            <w:r>
              <w:t>Lēmumu par D</w:t>
            </w:r>
            <w:r w:rsidRPr="00332444">
              <w:t>zīvojamās telpas īres vai apakšīres līguma slēgšanu, grozīšanu</w:t>
            </w:r>
            <w:r>
              <w:t xml:space="preserve"> vai atteikumu grozīt Dzīvojamās telpas īres līgumu,</w:t>
            </w:r>
            <w:r w:rsidRPr="00332444">
              <w:t xml:space="preserve"> atteikumu slēgt dzīvojamās telpas īres vai apakšīres līgumu, pieņem Jelgavas </w:t>
            </w:r>
            <w:proofErr w:type="spellStart"/>
            <w:r w:rsidRPr="00332444">
              <w:t>valstspilsētas</w:t>
            </w:r>
            <w:proofErr w:type="spellEnd"/>
            <w:r w:rsidRPr="00332444">
              <w:t xml:space="preserve"> pašvaldības</w:t>
            </w:r>
            <w:r>
              <w:t xml:space="preserve"> Dzīvokļu komisija (turpmāk – Dzīvokļu komisija).</w:t>
            </w:r>
            <w:r w:rsidR="004A065A">
              <w:t xml:space="preserve"> </w:t>
            </w:r>
            <w:r w:rsidR="0032637D" w:rsidRPr="00332444">
              <w:rPr>
                <w:color w:val="000000"/>
              </w:rPr>
              <w:t xml:space="preserve">Dzīvokļu komisijas pieņemto lēmumu var apstrīdēt </w:t>
            </w:r>
            <w:r w:rsidR="0032637D">
              <w:rPr>
                <w:color w:val="000000"/>
              </w:rPr>
              <w:t>Administratīvā procesa likuma noteiktajā kārtībā</w:t>
            </w:r>
            <w:r w:rsidR="001C5910">
              <w:rPr>
                <w:color w:val="000000"/>
              </w:rPr>
              <w:t>.</w:t>
            </w:r>
            <w:r w:rsidR="0032637D">
              <w:rPr>
                <w:color w:val="000000"/>
              </w:rPr>
              <w:t xml:space="preserve"> </w:t>
            </w:r>
          </w:p>
        </w:tc>
      </w:tr>
      <w:tr w:rsidR="00E15BAB" w:rsidRPr="00E15BAB" w:rsidTr="00F02210">
        <w:tc>
          <w:tcPr>
            <w:tcW w:w="1350" w:type="pct"/>
            <w:hideMark/>
          </w:tcPr>
          <w:p w:rsidR="00E15BAB" w:rsidRPr="00E15BAB" w:rsidRDefault="00E15BAB" w:rsidP="00E15BAB">
            <w:r w:rsidRPr="00E15BAB">
              <w:t>6. Informācija par konsultācijām ar privātpersonām</w:t>
            </w:r>
          </w:p>
        </w:tc>
        <w:tc>
          <w:tcPr>
            <w:tcW w:w="3650" w:type="pct"/>
            <w:hideMark/>
          </w:tcPr>
          <w:p w:rsidR="00E15BAB" w:rsidRPr="00E15BAB" w:rsidRDefault="00E15BAB" w:rsidP="005D243D">
            <w:r w:rsidRPr="00E15BAB">
              <w:t xml:space="preserve">Konsultācijas </w:t>
            </w:r>
            <w:r w:rsidR="005D243D">
              <w:t>ar privātpersonām netika veiktas.</w:t>
            </w:r>
          </w:p>
        </w:tc>
      </w:tr>
    </w:tbl>
    <w:p w:rsidR="000C7716" w:rsidRDefault="000C7716" w:rsidP="000C7716"/>
    <w:p w:rsidR="006C2F2D" w:rsidRDefault="006C2F2D" w:rsidP="000C7716"/>
    <w:p w:rsidR="00E614B4" w:rsidRPr="00E614B4" w:rsidRDefault="00E30CB1" w:rsidP="00F02210">
      <w:pPr>
        <w:jc w:val="both"/>
      </w:pPr>
      <w:r>
        <w:t xml:space="preserve">Jelgavas </w:t>
      </w:r>
      <w:proofErr w:type="spellStart"/>
      <w:r>
        <w:t>valstspils</w:t>
      </w:r>
      <w:bookmarkStart w:id="0" w:name="_GoBack"/>
      <w:bookmarkEnd w:id="0"/>
      <w:r>
        <w:t>ētas</w:t>
      </w:r>
      <w:proofErr w:type="spellEnd"/>
      <w:r>
        <w:t xml:space="preserve"> domes</w:t>
      </w:r>
      <w:r w:rsidRPr="00332444">
        <w:t xml:space="preserve"> priekšsēdētājs</w:t>
      </w:r>
      <w:r w:rsidRPr="00332444">
        <w:tab/>
      </w:r>
      <w:r w:rsidRPr="00332444">
        <w:tab/>
      </w:r>
      <w:r w:rsidRPr="00332444">
        <w:tab/>
      </w:r>
      <w:r w:rsidRPr="00332444">
        <w:tab/>
      </w:r>
      <w:r w:rsidRPr="00332444">
        <w:tab/>
      </w:r>
      <w:r w:rsidRPr="00332444">
        <w:tab/>
      </w:r>
      <w:proofErr w:type="spellStart"/>
      <w:r w:rsidRPr="00332444">
        <w:t>A.Rāviņš</w:t>
      </w:r>
      <w:proofErr w:type="spellEnd"/>
    </w:p>
    <w:sectPr w:rsidR="00E614B4" w:rsidRPr="00E614B4" w:rsidSect="006A5908">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00" w:rsidRDefault="007B6300">
      <w:r>
        <w:separator/>
      </w:r>
    </w:p>
  </w:endnote>
  <w:endnote w:type="continuationSeparator" w:id="0">
    <w:p w:rsidR="007B6300" w:rsidRDefault="007B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02A" w:rsidRDefault="006F502A" w:rsidP="006F502A">
    <w:pPr>
      <w:pStyle w:val="Footer"/>
      <w:rPr>
        <w:sz w:val="20"/>
        <w:szCs w:val="20"/>
      </w:rPr>
    </w:pPr>
    <w:r>
      <w:rPr>
        <w:sz w:val="20"/>
        <w:szCs w:val="20"/>
      </w:rPr>
      <w:t>ADM_grauda_01_p_02</w:t>
    </w:r>
  </w:p>
  <w:p w:rsidR="005032AA" w:rsidRDefault="0050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00" w:rsidRDefault="007B6300">
      <w:r>
        <w:separator/>
      </w:r>
    </w:p>
  </w:footnote>
  <w:footnote w:type="continuationSeparator" w:id="0">
    <w:p w:rsidR="007B6300" w:rsidRDefault="007B63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802C2"/>
    <w:multiLevelType w:val="hybridMultilevel"/>
    <w:tmpl w:val="EE1686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 w15:restartNumberingAfterBreak="0">
    <w:nsid w:val="176415FE"/>
    <w:multiLevelType w:val="hybridMultilevel"/>
    <w:tmpl w:val="9ADA3308"/>
    <w:lvl w:ilvl="0" w:tplc="08805B86">
      <w:start w:val="9"/>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F4574FD"/>
    <w:multiLevelType w:val="hybridMultilevel"/>
    <w:tmpl w:val="C1A2139C"/>
    <w:lvl w:ilvl="0" w:tplc="2E0836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BA"/>
    <w:rsid w:val="00000E6D"/>
    <w:rsid w:val="00010112"/>
    <w:rsid w:val="000216C0"/>
    <w:rsid w:val="00021DDE"/>
    <w:rsid w:val="0002272F"/>
    <w:rsid w:val="00030783"/>
    <w:rsid w:val="00042411"/>
    <w:rsid w:val="0005032B"/>
    <w:rsid w:val="00054B4E"/>
    <w:rsid w:val="00082657"/>
    <w:rsid w:val="00096E59"/>
    <w:rsid w:val="000A68F5"/>
    <w:rsid w:val="000C7716"/>
    <w:rsid w:val="000D1381"/>
    <w:rsid w:val="00101AF4"/>
    <w:rsid w:val="00112129"/>
    <w:rsid w:val="00167F75"/>
    <w:rsid w:val="00175441"/>
    <w:rsid w:val="00182448"/>
    <w:rsid w:val="001844A9"/>
    <w:rsid w:val="001A7689"/>
    <w:rsid w:val="001B767A"/>
    <w:rsid w:val="001C5910"/>
    <w:rsid w:val="001E2AB2"/>
    <w:rsid w:val="001F407E"/>
    <w:rsid w:val="001F5044"/>
    <w:rsid w:val="0021643F"/>
    <w:rsid w:val="0022525E"/>
    <w:rsid w:val="0023396E"/>
    <w:rsid w:val="00234525"/>
    <w:rsid w:val="00244772"/>
    <w:rsid w:val="0028364E"/>
    <w:rsid w:val="00284121"/>
    <w:rsid w:val="002A0945"/>
    <w:rsid w:val="002B6BF2"/>
    <w:rsid w:val="002C0324"/>
    <w:rsid w:val="002C07FD"/>
    <w:rsid w:val="002D3BB4"/>
    <w:rsid w:val="002F2E7E"/>
    <w:rsid w:val="00312EBB"/>
    <w:rsid w:val="0031671B"/>
    <w:rsid w:val="0032637D"/>
    <w:rsid w:val="00326BD6"/>
    <w:rsid w:val="00332444"/>
    <w:rsid w:val="00347A64"/>
    <w:rsid w:val="003602CD"/>
    <w:rsid w:val="003636D8"/>
    <w:rsid w:val="003779EE"/>
    <w:rsid w:val="00390358"/>
    <w:rsid w:val="003917D0"/>
    <w:rsid w:val="003A55B2"/>
    <w:rsid w:val="003A55B5"/>
    <w:rsid w:val="003B049D"/>
    <w:rsid w:val="003B2ABE"/>
    <w:rsid w:val="003B41F0"/>
    <w:rsid w:val="003C5188"/>
    <w:rsid w:val="003D3CCF"/>
    <w:rsid w:val="0043121C"/>
    <w:rsid w:val="00483639"/>
    <w:rsid w:val="00485117"/>
    <w:rsid w:val="004961A2"/>
    <w:rsid w:val="004A065A"/>
    <w:rsid w:val="004B5683"/>
    <w:rsid w:val="004C34D0"/>
    <w:rsid w:val="004D1324"/>
    <w:rsid w:val="004F1FF4"/>
    <w:rsid w:val="005032AA"/>
    <w:rsid w:val="0051131D"/>
    <w:rsid w:val="005146DE"/>
    <w:rsid w:val="00551906"/>
    <w:rsid w:val="0056192B"/>
    <w:rsid w:val="00571484"/>
    <w:rsid w:val="00592B38"/>
    <w:rsid w:val="005B0C3D"/>
    <w:rsid w:val="005B4363"/>
    <w:rsid w:val="005C293A"/>
    <w:rsid w:val="005C56B3"/>
    <w:rsid w:val="005D243D"/>
    <w:rsid w:val="005D3F60"/>
    <w:rsid w:val="005D5A51"/>
    <w:rsid w:val="005F450A"/>
    <w:rsid w:val="005F4BC3"/>
    <w:rsid w:val="00601DE8"/>
    <w:rsid w:val="00605BB7"/>
    <w:rsid w:val="00605E25"/>
    <w:rsid w:val="00607FF6"/>
    <w:rsid w:val="006139B3"/>
    <w:rsid w:val="00615C22"/>
    <w:rsid w:val="0061663B"/>
    <w:rsid w:val="00625D7B"/>
    <w:rsid w:val="00643B20"/>
    <w:rsid w:val="00644AA6"/>
    <w:rsid w:val="00650F65"/>
    <w:rsid w:val="00665ED6"/>
    <w:rsid w:val="00671062"/>
    <w:rsid w:val="0067345B"/>
    <w:rsid w:val="006858D8"/>
    <w:rsid w:val="00696DB4"/>
    <w:rsid w:val="00697035"/>
    <w:rsid w:val="006A3EA8"/>
    <w:rsid w:val="006A5908"/>
    <w:rsid w:val="006B524F"/>
    <w:rsid w:val="006C2935"/>
    <w:rsid w:val="006C2F2D"/>
    <w:rsid w:val="006D12DF"/>
    <w:rsid w:val="006D6329"/>
    <w:rsid w:val="006E20E9"/>
    <w:rsid w:val="006E567A"/>
    <w:rsid w:val="006F502A"/>
    <w:rsid w:val="00707BA5"/>
    <w:rsid w:val="00776980"/>
    <w:rsid w:val="007904DA"/>
    <w:rsid w:val="007B19C0"/>
    <w:rsid w:val="007B6300"/>
    <w:rsid w:val="007C11D3"/>
    <w:rsid w:val="007D37CD"/>
    <w:rsid w:val="007D6584"/>
    <w:rsid w:val="007E7ABD"/>
    <w:rsid w:val="007F691F"/>
    <w:rsid w:val="00807898"/>
    <w:rsid w:val="0081125B"/>
    <w:rsid w:val="00834178"/>
    <w:rsid w:val="00840DA8"/>
    <w:rsid w:val="008511DD"/>
    <w:rsid w:val="008550AE"/>
    <w:rsid w:val="00860E5E"/>
    <w:rsid w:val="00875CD4"/>
    <w:rsid w:val="00877DB2"/>
    <w:rsid w:val="008A1EAA"/>
    <w:rsid w:val="008B3285"/>
    <w:rsid w:val="008F070F"/>
    <w:rsid w:val="009006B3"/>
    <w:rsid w:val="009269C7"/>
    <w:rsid w:val="00936A96"/>
    <w:rsid w:val="009503AE"/>
    <w:rsid w:val="009531E4"/>
    <w:rsid w:val="00955FBD"/>
    <w:rsid w:val="00957ED9"/>
    <w:rsid w:val="00966A06"/>
    <w:rsid w:val="009B79BD"/>
    <w:rsid w:val="009D4DFE"/>
    <w:rsid w:val="009F133C"/>
    <w:rsid w:val="00A138DA"/>
    <w:rsid w:val="00A340B6"/>
    <w:rsid w:val="00A42459"/>
    <w:rsid w:val="00A5483E"/>
    <w:rsid w:val="00A81064"/>
    <w:rsid w:val="00A93CA2"/>
    <w:rsid w:val="00AB39CA"/>
    <w:rsid w:val="00AB7C67"/>
    <w:rsid w:val="00AC02D0"/>
    <w:rsid w:val="00AC2291"/>
    <w:rsid w:val="00AC3379"/>
    <w:rsid w:val="00AD284A"/>
    <w:rsid w:val="00AD6ECA"/>
    <w:rsid w:val="00AE0902"/>
    <w:rsid w:val="00AE0FFD"/>
    <w:rsid w:val="00AE339A"/>
    <w:rsid w:val="00AE4E67"/>
    <w:rsid w:val="00AF1D0A"/>
    <w:rsid w:val="00B124BF"/>
    <w:rsid w:val="00B15C84"/>
    <w:rsid w:val="00B23A1A"/>
    <w:rsid w:val="00B37C05"/>
    <w:rsid w:val="00B7291C"/>
    <w:rsid w:val="00B908CC"/>
    <w:rsid w:val="00BB1555"/>
    <w:rsid w:val="00BD1A86"/>
    <w:rsid w:val="00BD5700"/>
    <w:rsid w:val="00C03D25"/>
    <w:rsid w:val="00C33747"/>
    <w:rsid w:val="00C70992"/>
    <w:rsid w:val="00CB262E"/>
    <w:rsid w:val="00CD1432"/>
    <w:rsid w:val="00CD361F"/>
    <w:rsid w:val="00CF5034"/>
    <w:rsid w:val="00CF5C8C"/>
    <w:rsid w:val="00D00A8A"/>
    <w:rsid w:val="00D26674"/>
    <w:rsid w:val="00D3108D"/>
    <w:rsid w:val="00D76917"/>
    <w:rsid w:val="00DA3C5C"/>
    <w:rsid w:val="00DC009C"/>
    <w:rsid w:val="00DD0896"/>
    <w:rsid w:val="00DD6B79"/>
    <w:rsid w:val="00DE4EFA"/>
    <w:rsid w:val="00DF002A"/>
    <w:rsid w:val="00DF1B0A"/>
    <w:rsid w:val="00E15BAB"/>
    <w:rsid w:val="00E2717A"/>
    <w:rsid w:val="00E30CB1"/>
    <w:rsid w:val="00E34772"/>
    <w:rsid w:val="00E614B4"/>
    <w:rsid w:val="00E7251C"/>
    <w:rsid w:val="00E81AB2"/>
    <w:rsid w:val="00EB23C4"/>
    <w:rsid w:val="00EC06E0"/>
    <w:rsid w:val="00ED5389"/>
    <w:rsid w:val="00F02210"/>
    <w:rsid w:val="00F045CB"/>
    <w:rsid w:val="00F15618"/>
    <w:rsid w:val="00F162B7"/>
    <w:rsid w:val="00F16C38"/>
    <w:rsid w:val="00F24A9C"/>
    <w:rsid w:val="00F250D0"/>
    <w:rsid w:val="00F27FA4"/>
    <w:rsid w:val="00F47D49"/>
    <w:rsid w:val="00F51A51"/>
    <w:rsid w:val="00F52088"/>
    <w:rsid w:val="00F55243"/>
    <w:rsid w:val="00F60AD7"/>
    <w:rsid w:val="00F65E95"/>
    <w:rsid w:val="00F73BF7"/>
    <w:rsid w:val="00F917C5"/>
    <w:rsid w:val="00FA4181"/>
    <w:rsid w:val="00FA6346"/>
    <w:rsid w:val="00FB4017"/>
    <w:rsid w:val="00FD4209"/>
    <w:rsid w:val="00FD5254"/>
    <w:rsid w:val="00FD62BA"/>
    <w:rsid w:val="00FF2A0E"/>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2B1FA9E-1A9F-441E-AFCD-0D6B4887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ListParagraph">
    <w:name w:val="List Paragraph"/>
    <w:basedOn w:val="Normal"/>
    <w:uiPriority w:val="34"/>
    <w:qFormat/>
    <w:rsid w:val="006C2935"/>
    <w:pPr>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tv213">
    <w:name w:val="tv213"/>
    <w:basedOn w:val="Normal"/>
    <w:rsid w:val="006C2935"/>
    <w:pPr>
      <w:spacing w:before="100" w:beforeAutospacing="1" w:after="100" w:afterAutospacing="1"/>
    </w:pPr>
  </w:style>
  <w:style w:type="character" w:customStyle="1" w:styleId="HeaderChar">
    <w:name w:val="Header Char"/>
    <w:basedOn w:val="DefaultParagraphFont"/>
    <w:link w:val="Header"/>
    <w:rsid w:val="00807898"/>
    <w:rPr>
      <w:sz w:val="24"/>
      <w:szCs w:val="24"/>
    </w:rPr>
  </w:style>
  <w:style w:type="character" w:customStyle="1" w:styleId="FooterChar">
    <w:name w:val="Footer Char"/>
    <w:basedOn w:val="DefaultParagraphFont"/>
    <w:link w:val="Footer"/>
    <w:rsid w:val="006F50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76226">
      <w:bodyDiv w:val="1"/>
      <w:marLeft w:val="0"/>
      <w:marRight w:val="0"/>
      <w:marTop w:val="0"/>
      <w:marBottom w:val="0"/>
      <w:divBdr>
        <w:top w:val="none" w:sz="0" w:space="0" w:color="auto"/>
        <w:left w:val="none" w:sz="0" w:space="0" w:color="auto"/>
        <w:bottom w:val="none" w:sz="0" w:space="0" w:color="auto"/>
        <w:right w:val="none" w:sz="0" w:space="0" w:color="auto"/>
      </w:divBdr>
    </w:div>
    <w:div w:id="208910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2216-dzivojamo-telpu-ires-likums" TargetMode="External"/><Relationship Id="rId3" Type="http://schemas.openxmlformats.org/officeDocument/2006/relationships/settings" Target="settings.xml"/><Relationship Id="rId7" Type="http://schemas.openxmlformats.org/officeDocument/2006/relationships/hyperlink" Target="https://likumi.lv/ta/id/322216-dzivojamo-telpu-ire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1-3.2_Jelgavas_v-pilsetas_Saistosie_noteikumi</Template>
  <TotalTime>0</TotalTime>
  <Pages>1</Pages>
  <Words>1626</Words>
  <Characters>927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cp:revision>
  <cp:lastPrinted>2022-02-28T13:58:00Z</cp:lastPrinted>
  <dcterms:created xsi:type="dcterms:W3CDTF">2022-03-23T13:13:00Z</dcterms:created>
  <dcterms:modified xsi:type="dcterms:W3CDTF">2022-03-23T13:13:00Z</dcterms:modified>
</cp:coreProperties>
</file>