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8E" w:rsidRPr="00ED05EB" w:rsidRDefault="00545E8E" w:rsidP="00545E8E">
      <w:pPr>
        <w:pStyle w:val="NoSpacing"/>
        <w:ind w:left="4678"/>
        <w:rPr>
          <w:lang w:val="lv-LV"/>
        </w:rPr>
      </w:pPr>
      <w:r>
        <w:rPr>
          <w:lang w:val="lv-LV"/>
        </w:rPr>
        <w:t>IZDOTS</w:t>
      </w:r>
    </w:p>
    <w:p w:rsidR="00545E8E" w:rsidRPr="00ED05EB" w:rsidRDefault="00545E8E" w:rsidP="00545E8E">
      <w:pPr>
        <w:pStyle w:val="NoSpacing"/>
        <w:ind w:left="4678"/>
        <w:rPr>
          <w:lang w:val="lv-LV"/>
        </w:rPr>
      </w:pPr>
      <w:r w:rsidRPr="00ED05EB">
        <w:rPr>
          <w:lang w:val="lv-LV"/>
        </w:rPr>
        <w:t xml:space="preserve">Ar Jelgavas </w:t>
      </w:r>
      <w:proofErr w:type="spellStart"/>
      <w:r w:rsidRPr="00ED05EB">
        <w:rPr>
          <w:lang w:val="lv-LV"/>
        </w:rPr>
        <w:t>valstspilsētas</w:t>
      </w:r>
      <w:proofErr w:type="spellEnd"/>
      <w:r w:rsidRPr="00ED05EB">
        <w:rPr>
          <w:lang w:val="lv-LV"/>
        </w:rPr>
        <w:t xml:space="preserve"> pašvaldības domes</w:t>
      </w:r>
    </w:p>
    <w:p w:rsidR="00545E8E" w:rsidRPr="00ED05EB" w:rsidRDefault="00545E8E" w:rsidP="00545E8E">
      <w:pPr>
        <w:pStyle w:val="NoSpacing"/>
        <w:ind w:left="4678"/>
        <w:rPr>
          <w:lang w:val="lv-LV"/>
        </w:rPr>
      </w:pPr>
      <w:r>
        <w:rPr>
          <w:lang w:val="lv-LV"/>
        </w:rPr>
        <w:t>27</w:t>
      </w:r>
      <w:r w:rsidRPr="00ED05EB">
        <w:rPr>
          <w:lang w:val="lv-LV"/>
        </w:rPr>
        <w:t>.0</w:t>
      </w:r>
      <w:r>
        <w:rPr>
          <w:lang w:val="lv-LV"/>
        </w:rPr>
        <w:t>7</w:t>
      </w:r>
      <w:r w:rsidRPr="00ED05EB">
        <w:rPr>
          <w:lang w:val="lv-LV"/>
        </w:rPr>
        <w:t>.2023. lēmumu</w:t>
      </w:r>
      <w:r>
        <w:rPr>
          <w:lang w:val="lv-LV"/>
        </w:rPr>
        <w:t xml:space="preserve"> Nr.</w:t>
      </w:r>
      <w:r w:rsidR="001D7DFE">
        <w:rPr>
          <w:lang w:val="lv-LV"/>
        </w:rPr>
        <w:t>7/23</w:t>
      </w:r>
    </w:p>
    <w:p w:rsidR="00545E8E" w:rsidRPr="00ED05EB" w:rsidRDefault="00545E8E" w:rsidP="00545E8E">
      <w:pPr>
        <w:pStyle w:val="NoSpacing"/>
        <w:rPr>
          <w:lang w:val="lv-LV"/>
        </w:rPr>
      </w:pPr>
    </w:p>
    <w:p w:rsidR="00545E8E" w:rsidRPr="00ED05EB" w:rsidRDefault="00545E8E" w:rsidP="00545E8E">
      <w:pPr>
        <w:pStyle w:val="NoSpacing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 xml:space="preserve">Jelgavas </w:t>
      </w:r>
      <w:proofErr w:type="spellStart"/>
      <w:r w:rsidRPr="00ED05EB">
        <w:rPr>
          <w:b/>
          <w:sz w:val="28"/>
          <w:lang w:val="lv-LV"/>
        </w:rPr>
        <w:t>valstspilsētas</w:t>
      </w:r>
      <w:proofErr w:type="spellEnd"/>
      <w:r w:rsidRPr="00ED05EB">
        <w:rPr>
          <w:b/>
          <w:sz w:val="28"/>
          <w:lang w:val="lv-LV"/>
        </w:rPr>
        <w:t xml:space="preserve"> pašvaldības iestādes</w:t>
      </w:r>
    </w:p>
    <w:p w:rsidR="00545E8E" w:rsidRPr="00ED05EB" w:rsidRDefault="00545E8E" w:rsidP="00545E8E">
      <w:pPr>
        <w:pStyle w:val="NoSpacing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>“Jelgavas izglītības pārvalde”</w:t>
      </w:r>
    </w:p>
    <w:p w:rsidR="00545E8E" w:rsidRPr="00ED05EB" w:rsidRDefault="00545E8E" w:rsidP="00545E8E">
      <w:pPr>
        <w:pStyle w:val="NoSpacing"/>
        <w:spacing w:before="120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>NOLIKUMS</w:t>
      </w:r>
    </w:p>
    <w:p w:rsidR="00545E8E" w:rsidRPr="00ED05EB" w:rsidRDefault="00545E8E" w:rsidP="00545E8E">
      <w:pPr>
        <w:pStyle w:val="NoSpacing"/>
        <w:rPr>
          <w:lang w:val="lv-LV"/>
        </w:rPr>
      </w:pPr>
    </w:p>
    <w:p w:rsidR="00545E8E" w:rsidRPr="00545E8E" w:rsidRDefault="00545E8E" w:rsidP="00545E8E">
      <w:pPr>
        <w:pStyle w:val="NoSpacing"/>
        <w:ind w:left="5103"/>
        <w:jc w:val="both"/>
        <w:rPr>
          <w:i/>
          <w:szCs w:val="24"/>
          <w:lang w:val="lv-LV"/>
        </w:rPr>
      </w:pPr>
      <w:r w:rsidRPr="00545E8E">
        <w:rPr>
          <w:i/>
          <w:szCs w:val="24"/>
          <w:lang w:val="lv-LV"/>
        </w:rPr>
        <w:t>Izdots saskaņā ar Pašvaldību likuma 10. panta pirmās daļas 8. punktu</w:t>
      </w:r>
    </w:p>
    <w:p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Vispārīgie jautājumi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Nolikums nosaka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iestādes “Jelgavas izglītības pārvalde” (turpmāk – Izglītības pārvalde) izveidošanas, reorganizācijas un likvidācijas kārtību, Izglītības pārvaldes darba organizāciju, funkcijas un uzdevumus, tiesības un citus ar tās darbību saistītus jautājumus.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 ir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domes (turpmāk – Dome) izveidota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(turpmāk – pašvaldība) iestāde.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juridiskā adrese ir Svētes iela 22, Jelgava, LV – 3001.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pārvaldei ir patstāvīgas juridiskas personas tiesības, tai ir noteikta parauga veidlapa un Latvijas Republikas ģerboņa zīmogs, kā arī norēķinu konti kredītiestādēs.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pārvaldi dibina, reorganizē vai likvidē Dome. Izglītības pārvaldes nolikumu un tā grozījumus apstiprina Dome.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</w:t>
      </w:r>
      <w:r>
        <w:rPr>
          <w:szCs w:val="24"/>
          <w:lang w:val="lv-LV"/>
        </w:rPr>
        <w:t>darbu</w:t>
      </w:r>
      <w:r w:rsidRPr="00ED05EB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kontrolē un koordinē</w:t>
      </w:r>
      <w:r w:rsidRPr="00ED05EB">
        <w:rPr>
          <w:szCs w:val="24"/>
          <w:lang w:val="lv-LV"/>
        </w:rPr>
        <w:t xml:space="preserve"> pašvaldības izpilddirektor</w:t>
      </w:r>
      <w:r>
        <w:rPr>
          <w:szCs w:val="24"/>
          <w:lang w:val="lv-LV"/>
        </w:rPr>
        <w:t>a vietnieks.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pārvaldei ir struktūrvienība “Iekļaujošas izglītības atbalsta centrs”. 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 savā darbībā ievēro Izglītības likumu, Vispārējās izglītības likumu, Profesionālās izglītības likumu, Pašvaldību likumu, </w:t>
      </w:r>
      <w:r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</w:t>
      </w:r>
      <w:r w:rsidRPr="00ED05EB">
        <w:rPr>
          <w:szCs w:val="24"/>
          <w:lang w:val="lv-LV"/>
        </w:rPr>
        <w:t>pašvaldības nolikumu, šo nolikumu un citus normatīvos aktus.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pārraudzībā ir pašvaldības pirmsskolas izglītības, vispārējās izglītības, speciālās izglītības, profesionālās ievirzes izglītības, interešu izglītības iestādes un profesionālās izglītības iestāde (turpmāk </w:t>
      </w:r>
      <w:r>
        <w:rPr>
          <w:szCs w:val="24"/>
          <w:lang w:val="lv-LV"/>
        </w:rPr>
        <w:t xml:space="preserve">visas kopā </w:t>
      </w:r>
      <w:r w:rsidRPr="00ED05EB">
        <w:rPr>
          <w:szCs w:val="24"/>
          <w:lang w:val="lv-LV"/>
        </w:rPr>
        <w:t>– Iestādes).</w:t>
      </w:r>
    </w:p>
    <w:p w:rsidR="00545E8E" w:rsidRPr="00F85064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pedagoģiskā pārraudzībā ir privātās izglītības iestādes, </w:t>
      </w:r>
      <w:r w:rsidRPr="00F85064">
        <w:rPr>
          <w:szCs w:val="24"/>
          <w:lang w:val="lv-LV"/>
        </w:rPr>
        <w:t>kas īsteno licencētu izglītības programmu pašvaldības administratīvajā teritorijā.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 un Iestādes savus uzdevumus var veikt sadarbībā ar citām pašvaldības un valsts institūcijām, juridiskām un fiziskām personām normatīvajos aktos noteiktajā kārtībā.</w:t>
      </w:r>
    </w:p>
    <w:p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funkcijas, uzdevumi un tiesības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funkcijas: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nodrošināt pašvaldības izglītības ekosistēmas attīstības stratēģijas izstrādi saskaņā ar Ministru kabineta apstiprinātajiem izglītības attīstības pamatnostādnēs noteiktajiem mērķiem; 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teritorijā dzīvojošiem bērniem un jauniešiem iespēju iegūt pirmsskolas izglītību, pamatizglītību un vidējo izglītību</w:t>
      </w:r>
      <w:r>
        <w:rPr>
          <w:szCs w:val="24"/>
          <w:lang w:val="lv-LV"/>
        </w:rPr>
        <w:t xml:space="preserve">, kā arī </w:t>
      </w:r>
      <w:r w:rsidRPr="00ED05EB">
        <w:rPr>
          <w:szCs w:val="24"/>
          <w:lang w:val="lv-LV"/>
        </w:rPr>
        <w:t xml:space="preserve">sekmēt </w:t>
      </w:r>
      <w:r w:rsidRPr="00ED05EB">
        <w:rPr>
          <w:szCs w:val="24"/>
          <w:lang w:val="lv-LV"/>
        </w:rPr>
        <w:lastRenderedPageBreak/>
        <w:t>profesionālās, profesionālās ievirzes, interešu izglītības un karjeras izglītības pieejamību;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satura un programmu kvalitatīvu īstenošanu Iestādēs;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veidot pašvaldības pedagoģiskā personāla politiku;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efektīvu Izglītības pārvaldes un Iestāžu finanšu vadību, finanšu resursu piesaisti un racionālu izmantošanu;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Iestāžu infrastruktūras efektīvu izmantošanu;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kvalitatīvu administratīvo atbalstu Iestādēm;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citas pašvaldības uzdotās</w:t>
      </w:r>
      <w:r>
        <w:rPr>
          <w:szCs w:val="24"/>
          <w:lang w:val="lv-LV"/>
        </w:rPr>
        <w:t>,</w:t>
      </w:r>
      <w:r w:rsidRPr="00ED05EB">
        <w:rPr>
          <w:szCs w:val="24"/>
          <w:lang w:val="lv-LV"/>
        </w:rPr>
        <w:t xml:space="preserve"> normatīvajos aktos noteiktās</w:t>
      </w:r>
      <w:r>
        <w:rPr>
          <w:szCs w:val="24"/>
          <w:lang w:val="lv-LV"/>
        </w:rPr>
        <w:t>,</w:t>
      </w:r>
      <w:r w:rsidRPr="00ED05EB">
        <w:rPr>
          <w:szCs w:val="24"/>
          <w:lang w:val="lv-LV"/>
        </w:rPr>
        <w:t xml:space="preserve"> funkcijas izglītības jomā.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uzdevumi:</w:t>
      </w:r>
    </w:p>
    <w:p w:rsidR="00545E8E" w:rsidRPr="00A36346" w:rsidRDefault="00545E8E" w:rsidP="00545E8E">
      <w:pPr>
        <w:pStyle w:val="NoSpacing"/>
        <w:numPr>
          <w:ilvl w:val="1"/>
          <w:numId w:val="1"/>
        </w:numPr>
        <w:spacing w:before="60"/>
        <w:ind w:left="1134" w:hanging="708"/>
        <w:jc w:val="both"/>
        <w:rPr>
          <w:szCs w:val="24"/>
          <w:lang w:val="lv-LV"/>
        </w:rPr>
      </w:pPr>
      <w:r w:rsidRPr="00A36346">
        <w:rPr>
          <w:szCs w:val="24"/>
          <w:lang w:val="lv-LV"/>
        </w:rPr>
        <w:t>Izglītības kvalitātes vadība:</w:t>
      </w:r>
    </w:p>
    <w:p w:rsidR="00545E8E" w:rsidRPr="00AF158F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AF158F">
        <w:rPr>
          <w:szCs w:val="24"/>
          <w:lang w:val="lv-LV"/>
        </w:rPr>
        <w:t xml:space="preserve">plānot izglītības attīstību pašvaldībā, izstrādāt pašvaldības izglītības ekosistēmas attīstības stratēģiju, 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noteikt prioritātes, izstrādāt un īstenot pašvaldības stratēģiskos un politikas plānošanas dokumentus izglītības jomā;</w:t>
      </w:r>
    </w:p>
    <w:p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plānot Iestāžu perspektīvo attīstību, noteikt izglītības attīstības darbības virzienus </w:t>
      </w:r>
      <w:r>
        <w:rPr>
          <w:szCs w:val="24"/>
          <w:lang w:val="lv-LV"/>
        </w:rPr>
        <w:t xml:space="preserve">kārtējam </w:t>
      </w:r>
      <w:r w:rsidRPr="00ED05EB">
        <w:rPr>
          <w:szCs w:val="24"/>
          <w:lang w:val="lv-LV"/>
        </w:rPr>
        <w:t>mācību gadam;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informēt sabiedrību par pašvaldības izglītības ekosistēmas attīstību, sasniegumiem, izglītības programmu piedāvājumu un kvalitāti, Izglītības pārvaldes un Iestāžu darbību;</w:t>
      </w:r>
    </w:p>
    <w:p w:rsidR="00545E8E" w:rsidRPr="00147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DA3837">
        <w:rPr>
          <w:szCs w:val="24"/>
          <w:lang w:val="lv-LV"/>
        </w:rPr>
        <w:t>nodrošināt bērnu tiesību aizsardzību izglītības jomā;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obligātā izglītības vecuma bērnu uzskaiti;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konsultēt bērnu un izglītojamo vecākus par izglītības pieejamību;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vietu piešķiršanu pašvaldības pirmsskolas izglītības iestādēs atbilstoši pašvaldības saistošajiem noteikumiem;</w:t>
      </w:r>
    </w:p>
    <w:p w:rsidR="00545E8E" w:rsidRPr="00147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bērnu reģistrēšanu un uzņemšanu 1. klasē Iestādēs, kas īsteno pamatizglītības programmas;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Iestādēm valsts un pašvaldības institūciju</w:t>
      </w:r>
      <w:r>
        <w:rPr>
          <w:szCs w:val="24"/>
          <w:lang w:val="lv-LV"/>
        </w:rPr>
        <w:t xml:space="preserve"> sniegto</w:t>
      </w:r>
      <w:r w:rsidRPr="00ED05EB">
        <w:rPr>
          <w:szCs w:val="24"/>
          <w:lang w:val="lv-LV"/>
        </w:rPr>
        <w:t xml:space="preserve"> aktuālo informāciju, nodrošināt atgriezeniskās informācijas analīzi;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Iestāžu vadītāju profesionālās darbības kvalitātes novērtēšanu normatīvajos aktos noteiktajā kārtībā;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Iestāžu darbību un izglītības programmu īstenošanas kvalitātes mērķus un sasniedzamos rezultātus, sniegt atbalstu Iestāžu darbības kvalitātes pilnveidei;</w:t>
      </w:r>
    </w:p>
    <w:p w:rsidR="00545E8E" w:rsidRPr="00A36346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atbalstu Iestāžu akreditācijā un Iestāžu vadītāju profesionālās darbības novērtēšanā izvirzīto uzdevumu izpildē;</w:t>
      </w:r>
    </w:p>
    <w:p w:rsidR="00545E8E" w:rsidRPr="00A36346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A36346">
        <w:rPr>
          <w:szCs w:val="24"/>
          <w:lang w:val="lv-LV"/>
        </w:rPr>
        <w:t>Izglītības satura īstenošanas un metodiskā darba vadība: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vadīt un koordinēt metodisko darbu pašvaldībā;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izglītības programmu un bērnu un jauniešu interešu izglītības programmu pieprasījuma un piedāvājuma sabalansētību Iestādēs;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interešu izglītības programmu izvērtēšanu un pārraudzīt to īstenošanas kvalitāti;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bērnu un izglītojamo spēju un attīstības līmeņa izpēti un diagnostiku;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ilgstoši slimojošu bērnu apmācību;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pedagoģiski medicīniskās komisijas darbību, veicināt bērnu ar speciālajām vajadzībām iekļaušanu vispārējās izglītības iestādēs;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atbalsta personāla pakalpojumu sniegšanu Iestādēs, vērtēt speciālo izglītības programmu īstenošanas vajadzības un kvalitāti;</w:t>
      </w:r>
    </w:p>
    <w:p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lastRenderedPageBreak/>
        <w:t>nodrošināt Iestāžu īstenoto izglītības programmu atbilstību licencētajām izglītības programmām;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un nodrošināt valsts pārbaudes darbus atbilstoši Ministru kabineta noteiktajai kārtībai;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nodrošināt izglītojamo piedalīšanos mācību priekšmetu olimpiādēs, konkursos, skatēs, projektos; </w:t>
      </w:r>
    </w:p>
    <w:p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izglītojamo vasaras brīvlaika lietderīgas pavadīšanas iespējas un darba iemaņu apgūšanas iespējas pašvaldības īstenotajā izglītojamo nodarbinātības programmā;</w:t>
      </w:r>
      <w:r w:rsidRPr="00DA3837">
        <w:rPr>
          <w:szCs w:val="24"/>
          <w:lang w:val="lv-LV"/>
        </w:rPr>
        <w:t xml:space="preserve"> 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koordinēt pašvaldības teritorijā esošo izglītības iestāžu sadarbību;</w:t>
      </w:r>
    </w:p>
    <w:p w:rsidR="00545E8E" w:rsidRPr="00BD1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veicināt sabiedrības līdzdalību izglītībā, t.sk. Iestāžu sadarbību ar valsts un pašvaldību iestādēm, darba devējiem, sociālajiem partneriem, nevalstiskajām organizācijām;</w:t>
      </w:r>
    </w:p>
    <w:p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BD1004">
        <w:rPr>
          <w:szCs w:val="24"/>
          <w:lang w:val="lv-LV"/>
        </w:rPr>
        <w:t>Izglītības infrastruktūras, digitālo resursu un materiāltehniskā nodrošinājuma attīstība: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>
        <w:rPr>
          <w:szCs w:val="24"/>
          <w:lang w:val="lv-LV"/>
        </w:rPr>
        <w:t>plānot</w:t>
      </w:r>
      <w:r w:rsidRPr="00ED05EB">
        <w:rPr>
          <w:szCs w:val="24"/>
          <w:lang w:val="lv-LV"/>
        </w:rPr>
        <w:t xml:space="preserve"> Iestāžu vides, infrastruktūras, materiāltehnisko un digitālo resursu attīstību;</w:t>
      </w:r>
    </w:p>
    <w:p w:rsidR="00545E8E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Iestāžu ēku un teritoriju apsaimniekošanu, noteikt prioritātes Iestāžu ēku un teritoriju atjaunošanas un pārbūves darbu veikšanai;</w:t>
      </w:r>
    </w:p>
    <w:p w:rsidR="00545E8E" w:rsidRPr="00EF38E5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sagatavot informāciju iepirkumu organizēšanai par Izglītības pārvaldes un Iestāžu kompetencē esošiem jautājumiem;</w:t>
      </w:r>
    </w:p>
    <w:p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BD1004">
        <w:rPr>
          <w:szCs w:val="24"/>
          <w:lang w:val="lv-LV"/>
        </w:rPr>
        <w:t>Finanšu resursu plānošanā un administrēšana: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administrēt Izglītības pārvaldes un Iestāžu finanšu līdzekļus, nodrošināt to racionālu un lietderīgu izlietojumu un kontroli;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sadalīt valsts budžetā paredzētās mērķdotācijas un dotācijas saskaņā ar normatīvajiem aktiem un pašvaldības domes lēmumiem;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nepieciešamās darbības, kas saistītas ar pašvaldības atbalsta piešķiršanu privātajai izglītības iestādei un privātajam bērnu uzraudzības pakalpojuma sniedzējam;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Iestāžu budžetu plānošanu, kontrolēt to izpildi, nodrošināt finanšu vadību un datu analīzi;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izvērtēt Iestāžu vadītāju darba intensitāti un personīgo ieguldījumu Iestādes attīstībā</w:t>
      </w:r>
      <w:r w:rsidRPr="00934F54">
        <w:rPr>
          <w:szCs w:val="24"/>
          <w:lang w:val="lv-LV"/>
        </w:rPr>
        <w:t xml:space="preserve"> </w:t>
      </w:r>
      <w:r w:rsidRPr="00ED05EB">
        <w:rPr>
          <w:szCs w:val="24"/>
          <w:lang w:val="lv-LV"/>
        </w:rPr>
        <w:t>saskaņā ar pašvaldības domes apstiprinātiem kritērijiem un sagatavot priekšlikumus Iestāžu vadītāju mēneša darba algas likmes noteikšanai;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Iestādēm centralizētās grāmatvedības pakalpojumus;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sagatavot nepieciešamos dokumentus savstarpējo norēķinu veikšanai ar citām pašvaldībām par izglītības iestāžu sniegtajiem pakalpojumiem;</w:t>
      </w:r>
    </w:p>
    <w:p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>
        <w:rPr>
          <w:szCs w:val="24"/>
          <w:lang w:val="lv-LV"/>
        </w:rPr>
        <w:t>A</w:t>
      </w:r>
      <w:r w:rsidRPr="00BD1004">
        <w:rPr>
          <w:szCs w:val="24"/>
          <w:lang w:val="lv-LV"/>
        </w:rPr>
        <w:t>dministratīvo funkciju īstenošana: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koordinēt pedagoģiskā personāla politiku, plānošanu, piesaisti un veicināt karjeras attīstību Iestādēs;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pedagogu profesionālās darbības kvalitātes novērtēšanu;</w:t>
      </w:r>
    </w:p>
    <w:p w:rsidR="00545E8E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133C00">
        <w:rPr>
          <w:szCs w:val="24"/>
          <w:lang w:val="lv-LV"/>
        </w:rPr>
        <w:t>organizēt atbalstu profesionālās kvalifikācijas ieguvei pašvaldībā izglītības n</w:t>
      </w:r>
      <w:r>
        <w:rPr>
          <w:szCs w:val="24"/>
          <w:lang w:val="lv-LV"/>
        </w:rPr>
        <w:t>ozarē strādājošajiem pedagogiem un nodrošināt</w:t>
      </w:r>
      <w:r w:rsidRPr="00133C00">
        <w:rPr>
          <w:szCs w:val="24"/>
          <w:lang w:val="lv-LV"/>
        </w:rPr>
        <w:t xml:space="preserve"> atbalstu talantīgo pedagogu un izglītojamo izaugsmei;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administratīvajā teritorijā īstenojamo interešu izglītības programmu licencēšanu;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pedagogu profesionālās kompetences pilnveides A programmas un uzturēt programmu datu bāzi;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pedagoģisko darbinieku tarifikācijas un apstiprināt Iestāžu vadītāju tarifikāciju;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133C00">
        <w:rPr>
          <w:szCs w:val="24"/>
          <w:lang w:val="lv-LV"/>
        </w:rPr>
        <w:lastRenderedPageBreak/>
        <w:t xml:space="preserve">veikt nepieciešamās darbības kartes “Jelgavas </w:t>
      </w:r>
      <w:proofErr w:type="spellStart"/>
      <w:r w:rsidRPr="00133C00">
        <w:rPr>
          <w:szCs w:val="24"/>
          <w:lang w:val="lv-LV"/>
        </w:rPr>
        <w:t>valstspilsētas</w:t>
      </w:r>
      <w:proofErr w:type="spellEnd"/>
      <w:r w:rsidRPr="00133C00">
        <w:rPr>
          <w:szCs w:val="24"/>
          <w:lang w:val="lv-LV"/>
        </w:rPr>
        <w:t xml:space="preserve"> skolēna apliecība” un kartes “Jelgavas </w:t>
      </w:r>
      <w:proofErr w:type="spellStart"/>
      <w:r w:rsidRPr="00133C00">
        <w:rPr>
          <w:szCs w:val="24"/>
          <w:lang w:val="lv-LV"/>
        </w:rPr>
        <w:t>valstspilsētas</w:t>
      </w:r>
      <w:proofErr w:type="spellEnd"/>
      <w:r w:rsidRPr="00133C00">
        <w:rPr>
          <w:szCs w:val="24"/>
          <w:lang w:val="lv-LV"/>
        </w:rPr>
        <w:t xml:space="preserve"> iedzīvotāja karte” izgatavošanai un izsniegšanai saskaņā ar pašvaldības domes apstiprinātiem noteikumiem</w:t>
      </w:r>
      <w:r w:rsidRPr="00ED05EB">
        <w:rPr>
          <w:szCs w:val="24"/>
          <w:lang w:val="lv-LV"/>
        </w:rPr>
        <w:t>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vadīt un plānot projektu pamatdarbības jautājumos izstrādi un realizēšanu patstāvīgi un sadarbībā ar citām pašvaldības un valsts institūcijām;</w:t>
      </w:r>
    </w:p>
    <w:p w:rsidR="00545E8E" w:rsidRPr="00DA3837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pārvaldes personāla pārvaldību, koordinēt Iestāžu personāla pārvaldību un sniegt konsultācijas;</w:t>
      </w:r>
      <w:r w:rsidRPr="00AF158F">
        <w:rPr>
          <w:szCs w:val="24"/>
          <w:lang w:val="lv-LV"/>
        </w:rPr>
        <w:t xml:space="preserve"> 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pārvaldes rīcībā esošo personas datu un citas informācijas aizsardzību;</w:t>
      </w:r>
    </w:p>
    <w:p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Iestāžu pašnovērtējumu ziņojumus;</w:t>
      </w:r>
    </w:p>
    <w:p w:rsidR="00545E8E" w:rsidRPr="00BD1004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citus uzdevumus atbilstoši normatīvajos aktos noteiktai kompetencei un pašvaldības domes lēmumiem.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tiesības: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iesniegt pašvaldības domei priekšlikumus par izglītības attīstības jautājumiem;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pieprasīt un saņemt no Iestādēm, citām valsts un privātajām izglītības iestādēm un organizācijām informāciju saskaņā ar normatīvajiem aktiem savas kompetences jautājumos;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sadarboties ar citām pašvaldības iestādēm un struktūrvienībām savas kompetences jautājumu risināšanā;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piedalīties pašvaldības domes izglītības jomā izveidoto komisiju un darba grupu darbā;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ierosināt grozījumus pašvaldības normatīvajos aktos</w:t>
      </w:r>
      <w:r>
        <w:rPr>
          <w:szCs w:val="24"/>
          <w:lang w:val="lv-LV"/>
        </w:rPr>
        <w:t xml:space="preserve"> izglītības jomā</w:t>
      </w:r>
      <w:r w:rsidRPr="00ED05EB">
        <w:rPr>
          <w:szCs w:val="24"/>
          <w:lang w:val="lv-LV"/>
        </w:rPr>
        <w:t>;</w:t>
      </w:r>
    </w:p>
    <w:p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maksas pakalpojumus saskaņā ar pašvaldības domes apstiprinātajiem maksas pakalpojumiem.</w:t>
      </w:r>
    </w:p>
    <w:p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darba organizācija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darbu vada Izglītības pārvaldes vadītājs, kuru ieceļ amatā un atbrīvo no amata pašvaldības dome, saskaņojot to ar Latvijas Republikas Izglītības un zinātnes ministriju.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vadītājam ir divi vietnieki</w:t>
      </w:r>
      <w:r>
        <w:rPr>
          <w:szCs w:val="24"/>
          <w:lang w:val="lv-LV"/>
        </w:rPr>
        <w:t>.</w:t>
      </w:r>
    </w:p>
    <w:p w:rsidR="00545E8E" w:rsidRPr="00F85064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F85064">
        <w:rPr>
          <w:szCs w:val="24"/>
          <w:lang w:val="lv-LV"/>
        </w:rPr>
        <w:t>Izglītības pārvaldes organizatorisko struktūru izstrādā Izglītības pārvaldes vadītājs un to apstiprina pašvaldības izpilddirektora vietnieks.</w:t>
      </w:r>
    </w:p>
    <w:p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amatu sarakstu apstiprina vadītājs, saskaņojot ar pašvaldības izpilddirektor</w:t>
      </w:r>
      <w:r>
        <w:rPr>
          <w:szCs w:val="24"/>
          <w:lang w:val="lv-LV"/>
        </w:rPr>
        <w:t>a vietnieku.</w:t>
      </w:r>
      <w:r w:rsidRPr="00ED05EB">
        <w:rPr>
          <w:szCs w:val="24"/>
          <w:lang w:val="lv-LV"/>
        </w:rPr>
        <w:t xml:space="preserve"> </w:t>
      </w:r>
    </w:p>
    <w:p w:rsidR="00545E8E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vadītājs savas kompetences ietvaros saskaņā ar normatīvajiem aktiem un šo nolikumu:</w:t>
      </w:r>
    </w:p>
    <w:p w:rsidR="00545E8E" w:rsidRPr="007F1237" w:rsidRDefault="00545E8E" w:rsidP="00545E8E">
      <w:pPr>
        <w:pStyle w:val="NoSpacing"/>
        <w:spacing w:before="60"/>
        <w:ind w:left="1134" w:hanging="709"/>
        <w:jc w:val="both"/>
        <w:rPr>
          <w:szCs w:val="24"/>
          <w:lang w:val="lv-LV"/>
        </w:rPr>
      </w:pPr>
      <w:r>
        <w:rPr>
          <w:szCs w:val="24"/>
          <w:lang w:val="lv-LV"/>
        </w:rPr>
        <w:t>19.1.</w:t>
      </w:r>
      <w:r>
        <w:rPr>
          <w:szCs w:val="24"/>
          <w:lang w:val="lv-LV"/>
        </w:rPr>
        <w:tab/>
      </w:r>
      <w:r w:rsidRPr="007F1237">
        <w:rPr>
          <w:szCs w:val="24"/>
          <w:lang w:val="lv-LV"/>
        </w:rPr>
        <w:t>vada, plāno, organizē un pārrauga Izglītības pārvaldes darbību un uzdevumu izpildi, nodrošina tās darbības nepārtrauktību un tiesiskumu;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ir atbildīgs par Izglītības pārvaldes un Iestāžu resursu un finanšu līdzekļu racionālu un lietderīgu izlietojumu atbilstoši to uzdevumiem;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 Izglītības pārvaldes darbības plāna un budžeta izstrādi</w:t>
      </w:r>
      <w:r>
        <w:rPr>
          <w:szCs w:val="24"/>
          <w:lang w:val="lv-LV"/>
        </w:rPr>
        <w:t xml:space="preserve"> un </w:t>
      </w:r>
      <w:r w:rsidRPr="00ED05EB">
        <w:rPr>
          <w:szCs w:val="24"/>
          <w:lang w:val="lv-LV"/>
        </w:rPr>
        <w:t>ir atbildīgs par to izpildi;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slēdz līgumus vai vienošanās ar Izglītības un zinātnes ministriju vai tās padotībā esošajām iestādēm par pašvaldībai piešķirtā valsts budžeta finansējuma apgūšanu izglītības funkcijas īstenošanai;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bez īpaša pilnvarojuma pārstāv Izglītības pārvaldes intereses valsts un pašvaldību institūcijās, tiesu instancēs, citās institūcijās, attiecībās ar juridiskajām un fiziskajām personām;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veic darījumus un slēdz līgumus Izglītības pārvaldes darbības nodrošināšanai;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lastRenderedPageBreak/>
        <w:t>atver un slēdz kontus kredītiestādēs, rīkojas ar Izglītības pārvaldes mantu un finanšu līdzekļiem;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nodrošina normatīvajos aktos noteikto atskaišu un citu ziņu sniegšanu valsts un pašvaldību institūcijām;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nodrošina Izglītības pārvaldes darbību reglamentējošo normatīvo aktu izstrādi, apstiprina tos un kontrolē to izpildi;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pieņem darbā un atbrīvo no darba Izglītības pārvaldes darbiniekus, apstiprina amata aprakstus;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 pedagogu tarifikācijas un apstiprina Iestāžu vadītāju tarifikācijas;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apstiprina Iestāžu vadītāju darba laika uzskaites tabulas;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atbilstoši Izglītības pārvaldes kompetencei dod saistošus norādījumus un izdo</w:t>
      </w:r>
      <w:r>
        <w:rPr>
          <w:szCs w:val="24"/>
          <w:lang w:val="lv-LV"/>
        </w:rPr>
        <w:t>d</w:t>
      </w:r>
      <w:r w:rsidRPr="00ED05EB">
        <w:rPr>
          <w:szCs w:val="24"/>
          <w:lang w:val="lv-LV"/>
        </w:rPr>
        <w:t xml:space="preserve"> rīkojumus Izglītības pārvaldes darbiniekiem, Iestāžu vadītājiem un darbiniekiem, kā arī atceļ vai aptur Iestāžu vadītāju prettiesiskus rīkojumus</w:t>
      </w:r>
      <w:r>
        <w:rPr>
          <w:szCs w:val="24"/>
          <w:lang w:val="lv-LV"/>
        </w:rPr>
        <w:t>, saskaņojot ar izpilddirektora vietnieku</w:t>
      </w:r>
      <w:r w:rsidRPr="00ED05EB">
        <w:rPr>
          <w:szCs w:val="24"/>
          <w:lang w:val="lv-LV"/>
        </w:rPr>
        <w:t>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nodrošina personāla, lietvedības, grāmatvedības un citas dokumentācijas kārtošanu, izpildi un uzglabāšanu;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veic citas darbības Izglītības pārvaldes uzdevumu izpildei.</w:t>
      </w:r>
    </w:p>
    <w:p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manta un finanšu līdzekļi</w:t>
      </w:r>
    </w:p>
    <w:p w:rsidR="00545E8E" w:rsidRPr="00ED05EB" w:rsidRDefault="00545E8E" w:rsidP="00545E8E">
      <w:pPr>
        <w:pStyle w:val="NoSpacing"/>
        <w:numPr>
          <w:ilvl w:val="0"/>
          <w:numId w:val="3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mantu un finanšu līdzekļus veido: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pašvaldības un valsts budžeta līdzekļi;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ieņēmumi no sadarbības programmām un projektiem, maksas pakalpojumiem;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ziedojumi, dāvinājumi un citi ieņēmumi;</w:t>
      </w:r>
    </w:p>
    <w:p w:rsidR="00545E8E" w:rsidRPr="00ED05EB" w:rsidRDefault="00545E8E" w:rsidP="00545E8E">
      <w:pPr>
        <w:pStyle w:val="NoSpacing"/>
        <w:numPr>
          <w:ilvl w:val="1"/>
          <w:numId w:val="3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valdījumā esošā pašvaldības manta.</w:t>
      </w:r>
    </w:p>
    <w:p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darbības tiesiskuma nodrošināšana</w:t>
      </w:r>
    </w:p>
    <w:p w:rsidR="00545E8E" w:rsidRPr="00ED05EB" w:rsidRDefault="00545E8E" w:rsidP="00545E8E">
      <w:pPr>
        <w:pStyle w:val="NoSpacing"/>
        <w:numPr>
          <w:ilvl w:val="0"/>
          <w:numId w:val="3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darbības tiesiskumu nodrošina Izglītības pārvaldes vadītājs.</w:t>
      </w:r>
    </w:p>
    <w:p w:rsidR="00545E8E" w:rsidRPr="00ED05EB" w:rsidRDefault="00545E8E" w:rsidP="00545E8E">
      <w:pPr>
        <w:pStyle w:val="NoSpacing"/>
        <w:numPr>
          <w:ilvl w:val="0"/>
          <w:numId w:val="3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darbinieku lēmumus un faktisko rīcību var apstrīdēt Izglītības pārvaldes vadītājam.</w:t>
      </w:r>
    </w:p>
    <w:p w:rsidR="00545E8E" w:rsidRPr="00ED05EB" w:rsidRDefault="00545E8E" w:rsidP="00545E8E">
      <w:pPr>
        <w:pStyle w:val="NoSpacing"/>
        <w:numPr>
          <w:ilvl w:val="0"/>
          <w:numId w:val="3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</w:t>
      </w:r>
      <w:bookmarkStart w:id="0" w:name="_GoBack"/>
      <w:bookmarkEnd w:id="0"/>
      <w:r w:rsidRPr="00ED05EB">
        <w:rPr>
          <w:szCs w:val="24"/>
          <w:lang w:val="lv-LV"/>
        </w:rPr>
        <w:t>s vadītāja izdotos administratīvos aktus un faktisko rīcību var apstrīdēt Domē, ja normatīvie akti neparedz citu apstrīdēšanas kārtību.</w:t>
      </w:r>
    </w:p>
    <w:p w:rsidR="00545E8E" w:rsidRPr="00ED05EB" w:rsidRDefault="00545E8E" w:rsidP="00545E8E">
      <w:pPr>
        <w:pStyle w:val="NoSpacing"/>
        <w:spacing w:before="240" w:after="120"/>
        <w:ind w:left="567" w:firstLine="426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V.</w:t>
      </w:r>
      <w:r w:rsidRPr="00ED05EB">
        <w:rPr>
          <w:b/>
          <w:szCs w:val="24"/>
          <w:lang w:val="lv-LV"/>
        </w:rPr>
        <w:tab/>
        <w:t>Noslēguma jautājumi</w:t>
      </w:r>
    </w:p>
    <w:p w:rsidR="00545E8E" w:rsidRDefault="00545E8E" w:rsidP="00545E8E">
      <w:pPr>
        <w:pStyle w:val="NoSpacing"/>
        <w:numPr>
          <w:ilvl w:val="0"/>
          <w:numId w:val="3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Ar šī nolikuma spēkā stāšanos spēku zaudē ar Jelgavas pilsētas domes </w:t>
      </w:r>
      <w:r>
        <w:rPr>
          <w:szCs w:val="24"/>
          <w:lang w:val="lv-LV"/>
        </w:rPr>
        <w:t>2014. gada 29. maija lēmumu Nr.</w:t>
      </w:r>
      <w:r w:rsidRPr="00ED05EB">
        <w:rPr>
          <w:szCs w:val="24"/>
          <w:lang w:val="lv-LV"/>
        </w:rPr>
        <w:t xml:space="preserve">7/8 apstiprinātais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iestādes “Jelgavas izglītības pārvalde” nolikums.</w:t>
      </w:r>
    </w:p>
    <w:p w:rsidR="005F450A" w:rsidRDefault="005F450A"/>
    <w:p w:rsidR="00545E8E" w:rsidRDefault="00545E8E"/>
    <w:p w:rsidR="00545E8E" w:rsidRDefault="00545E8E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054B4E" w:rsidRDefault="00054B4E"/>
    <w:p w:rsidR="005F450A" w:rsidRDefault="005F450A"/>
    <w:p w:rsidR="005F450A" w:rsidRPr="00594A29" w:rsidRDefault="00545E8E">
      <w:pPr>
        <w:rPr>
          <w:sz w:val="22"/>
          <w:szCs w:val="22"/>
        </w:rPr>
      </w:pPr>
      <w:r w:rsidRPr="00594A29">
        <w:rPr>
          <w:sz w:val="22"/>
          <w:szCs w:val="22"/>
        </w:rPr>
        <w:t>Auza</w:t>
      </w:r>
      <w:r w:rsidR="00594A29" w:rsidRPr="00594A29">
        <w:rPr>
          <w:sz w:val="22"/>
          <w:szCs w:val="22"/>
        </w:rPr>
        <w:t xml:space="preserve"> 63012461</w:t>
      </w:r>
    </w:p>
    <w:p w:rsidR="005F450A" w:rsidRDefault="005F450A"/>
    <w:p w:rsidR="005F450A" w:rsidRDefault="005F450A"/>
    <w:sectPr w:rsidR="005F450A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BA0" w:rsidRDefault="00706BA0">
      <w:r>
        <w:separator/>
      </w:r>
    </w:p>
  </w:endnote>
  <w:endnote w:type="continuationSeparator" w:id="0">
    <w:p w:rsidR="00706BA0" w:rsidRDefault="0070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275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AD0" w:rsidRDefault="00545E8E" w:rsidP="00545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B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BA0" w:rsidRDefault="00706BA0">
      <w:r>
        <w:separator/>
      </w:r>
    </w:p>
  </w:footnote>
  <w:footnote w:type="continuationSeparator" w:id="0">
    <w:p w:rsidR="00706BA0" w:rsidRDefault="0070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24A"/>
    <w:multiLevelType w:val="multilevel"/>
    <w:tmpl w:val="AB3C9FA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82B22C0"/>
    <w:multiLevelType w:val="hybridMultilevel"/>
    <w:tmpl w:val="F7483F12"/>
    <w:lvl w:ilvl="0" w:tplc="AA82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A3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0D"/>
    <w:rsid w:val="00021DDE"/>
    <w:rsid w:val="00030783"/>
    <w:rsid w:val="00054B4E"/>
    <w:rsid w:val="000A68F5"/>
    <w:rsid w:val="00112129"/>
    <w:rsid w:val="00167F75"/>
    <w:rsid w:val="00182448"/>
    <w:rsid w:val="001A7689"/>
    <w:rsid w:val="001B767A"/>
    <w:rsid w:val="001D7DFE"/>
    <w:rsid w:val="001F407E"/>
    <w:rsid w:val="00234525"/>
    <w:rsid w:val="00284121"/>
    <w:rsid w:val="002C07FD"/>
    <w:rsid w:val="003430FF"/>
    <w:rsid w:val="003636D8"/>
    <w:rsid w:val="00381B64"/>
    <w:rsid w:val="003A55B2"/>
    <w:rsid w:val="003B049D"/>
    <w:rsid w:val="0043121C"/>
    <w:rsid w:val="00483639"/>
    <w:rsid w:val="004B5683"/>
    <w:rsid w:val="00545E8E"/>
    <w:rsid w:val="00594A29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06BA0"/>
    <w:rsid w:val="007C11D3"/>
    <w:rsid w:val="007D6584"/>
    <w:rsid w:val="008550AE"/>
    <w:rsid w:val="00860E5E"/>
    <w:rsid w:val="008A46C1"/>
    <w:rsid w:val="009269C7"/>
    <w:rsid w:val="009E5AD0"/>
    <w:rsid w:val="00AB7C67"/>
    <w:rsid w:val="00AC3379"/>
    <w:rsid w:val="00AD5B6E"/>
    <w:rsid w:val="00AE0902"/>
    <w:rsid w:val="00AE0FFD"/>
    <w:rsid w:val="00B7291C"/>
    <w:rsid w:val="00B75159"/>
    <w:rsid w:val="00B908CC"/>
    <w:rsid w:val="00BD5700"/>
    <w:rsid w:val="00CB262E"/>
    <w:rsid w:val="00D3108D"/>
    <w:rsid w:val="00D51A0D"/>
    <w:rsid w:val="00DC009C"/>
    <w:rsid w:val="00EC06E0"/>
    <w:rsid w:val="00EC7B8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F7737F8-F488-4280-99E8-5991A49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E8E"/>
    <w:rPr>
      <w:rFonts w:eastAsia="Calibri"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E8E"/>
    <w:rPr>
      <w:sz w:val="24"/>
      <w:szCs w:val="24"/>
    </w:rPr>
  </w:style>
  <w:style w:type="paragraph" w:styleId="BalloonText">
    <w:name w:val="Balloon Text"/>
    <w:basedOn w:val="Normal"/>
    <w:link w:val="BalloonTextChar"/>
    <w:rsid w:val="001D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2</TotalTime>
  <Pages>1</Pages>
  <Words>8203</Words>
  <Characters>4677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2023-07-27T10:36:00Z</cp:lastPrinted>
  <dcterms:created xsi:type="dcterms:W3CDTF">2023-07-27T06:13:00Z</dcterms:created>
  <dcterms:modified xsi:type="dcterms:W3CDTF">2023-07-27T10:36:00Z</dcterms:modified>
</cp:coreProperties>
</file>