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9D1D" w14:textId="77777777" w:rsidR="00E61AB9" w:rsidRPr="00280F16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color w:val="FF0000"/>
          <w:szCs w:val="44"/>
          <w:lang w:val="lv-LV"/>
        </w:rPr>
      </w:pPr>
      <w:r w:rsidRPr="00280F16">
        <w:rPr>
          <w:noProof/>
          <w:color w:val="FF0000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0AAACFE" wp14:editId="6EBB5A5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035FA" w14:textId="4A2F3690" w:rsidR="003D5C89" w:rsidRDefault="00D3215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AA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00035FA" w14:textId="4A2F3690" w:rsidR="003D5C89" w:rsidRDefault="00D3215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B658A" w:rsidRPr="00280F16" w14:paraId="135603EE" w14:textId="77777777" w:rsidTr="007346CE">
        <w:tc>
          <w:tcPr>
            <w:tcW w:w="7905" w:type="dxa"/>
          </w:tcPr>
          <w:p w14:paraId="495154C6" w14:textId="1B2EB10D" w:rsidR="00E61AB9" w:rsidRPr="00280F16" w:rsidRDefault="00280F16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80F16">
              <w:rPr>
                <w:bCs/>
                <w:szCs w:val="44"/>
                <w:lang w:val="lv-LV"/>
              </w:rPr>
              <w:t>20.02.2024.</w:t>
            </w:r>
          </w:p>
        </w:tc>
        <w:tc>
          <w:tcPr>
            <w:tcW w:w="1137" w:type="dxa"/>
          </w:tcPr>
          <w:p w14:paraId="502E17DB" w14:textId="104D1525" w:rsidR="00E61AB9" w:rsidRPr="00280F16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80F16">
              <w:rPr>
                <w:bCs/>
                <w:szCs w:val="44"/>
                <w:lang w:val="lv-LV"/>
              </w:rPr>
              <w:t>Nr.</w:t>
            </w:r>
            <w:r w:rsidR="00D32152">
              <w:rPr>
                <w:bCs/>
                <w:szCs w:val="44"/>
                <w:lang w:val="lv-LV"/>
              </w:rPr>
              <w:t>2/11</w:t>
            </w:r>
          </w:p>
        </w:tc>
      </w:tr>
    </w:tbl>
    <w:p w14:paraId="65E16CFE" w14:textId="77777777" w:rsidR="00E61AB9" w:rsidRPr="00280F16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177088E" w14:textId="1CBAF2D9" w:rsidR="000020FA" w:rsidRDefault="00280F16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280F16">
        <w:rPr>
          <w:u w:val="none"/>
        </w:rPr>
        <w:t>GROZĪJUMI JELGAVAS VALSTSPILSĒTAS</w:t>
      </w:r>
      <w:r>
        <w:rPr>
          <w:u w:val="none"/>
        </w:rPr>
        <w:t xml:space="preserve"> PAŠVALDĪBAS</w:t>
      </w:r>
      <w:r w:rsidRPr="00280F16">
        <w:rPr>
          <w:u w:val="none"/>
        </w:rPr>
        <w:t xml:space="preserve"> DOMES 2</w:t>
      </w:r>
      <w:r w:rsidR="000020FA">
        <w:rPr>
          <w:u w:val="none"/>
        </w:rPr>
        <w:t>023. GADA 21. DECEMBRA LĒMUMĀ Nr.13/</w:t>
      </w:r>
      <w:r w:rsidRPr="00280F16">
        <w:rPr>
          <w:u w:val="none"/>
        </w:rPr>
        <w:t>30 “</w:t>
      </w:r>
      <w:r w:rsidR="001B658A" w:rsidRPr="00280F16">
        <w:rPr>
          <w:u w:val="none"/>
        </w:rPr>
        <w:t>AR VALSTS KASI NOSLĒGTĀ AIZDEVUMA LĪGUMA PĀRJAUNOŠANA</w:t>
      </w:r>
      <w:r w:rsidR="00C6024C" w:rsidRPr="00280F16">
        <w:rPr>
          <w:u w:val="none"/>
        </w:rPr>
        <w:t xml:space="preserve"> UN ILGTERMIŅA AI</w:t>
      </w:r>
      <w:r w:rsidR="00752C56" w:rsidRPr="00280F16">
        <w:rPr>
          <w:u w:val="none"/>
        </w:rPr>
        <w:t>Z</w:t>
      </w:r>
      <w:r w:rsidR="00C6024C" w:rsidRPr="00280F16">
        <w:rPr>
          <w:u w:val="none"/>
        </w:rPr>
        <w:t xml:space="preserve">ŅĒMUMU ŅEMŠANA </w:t>
      </w:r>
    </w:p>
    <w:p w14:paraId="0D16B4E8" w14:textId="5E901F9A" w:rsidR="002438AA" w:rsidRPr="00280F16" w:rsidRDefault="00C6024C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280F16">
        <w:rPr>
          <w:u w:val="none"/>
        </w:rPr>
        <w:t>2024.</w:t>
      </w:r>
      <w:r w:rsidR="00126E4A" w:rsidRPr="00280F16">
        <w:rPr>
          <w:u w:val="none"/>
        </w:rPr>
        <w:t xml:space="preserve"> </w:t>
      </w:r>
      <w:r w:rsidRPr="00280F16">
        <w:rPr>
          <w:u w:val="none"/>
        </w:rPr>
        <w:t>GADĀ</w:t>
      </w:r>
      <w:r w:rsidR="00280F16" w:rsidRPr="00280F16">
        <w:rPr>
          <w:u w:val="none"/>
        </w:rPr>
        <w:t>”</w:t>
      </w:r>
    </w:p>
    <w:p w14:paraId="3B26CECC" w14:textId="77777777" w:rsidR="001C104F" w:rsidRPr="00280F16" w:rsidRDefault="001C104F" w:rsidP="001C104F"/>
    <w:p w14:paraId="7830F651" w14:textId="7B516871" w:rsidR="00D32152" w:rsidRPr="00FD1663" w:rsidRDefault="00FD1663" w:rsidP="00D32152">
      <w:pPr>
        <w:pStyle w:val="BodyText"/>
        <w:jc w:val="both"/>
      </w:pPr>
      <w:r>
        <w:rPr>
          <w:b/>
          <w:bCs/>
        </w:rPr>
        <w:t>Atklāti balsojot: PAR – 10</w:t>
      </w:r>
      <w:r w:rsidR="00D32152" w:rsidRPr="000D1E6C">
        <w:rPr>
          <w:b/>
          <w:bCs/>
        </w:rPr>
        <w:t xml:space="preserve"> </w:t>
      </w:r>
      <w:r w:rsidR="00D32152" w:rsidRPr="000D1E6C">
        <w:rPr>
          <w:bCs/>
        </w:rPr>
        <w:t>(</w:t>
      </w:r>
      <w:proofErr w:type="spellStart"/>
      <w:r w:rsidR="00D32152" w:rsidRPr="000D1E6C">
        <w:rPr>
          <w:bCs/>
        </w:rPr>
        <w:t>A.Rāviņš</w:t>
      </w:r>
      <w:proofErr w:type="spellEnd"/>
      <w:r w:rsidR="00D32152" w:rsidRPr="000D1E6C">
        <w:rPr>
          <w:bCs/>
        </w:rPr>
        <w:t xml:space="preserve">, </w:t>
      </w:r>
      <w:proofErr w:type="spellStart"/>
      <w:r w:rsidR="00D32152" w:rsidRPr="000D1E6C">
        <w:rPr>
          <w:bCs/>
        </w:rPr>
        <w:t>R.Vectirāne</w:t>
      </w:r>
      <w:proofErr w:type="spellEnd"/>
      <w:r w:rsidR="00D32152" w:rsidRPr="000D1E6C">
        <w:rPr>
          <w:bCs/>
        </w:rPr>
        <w:t xml:space="preserve">, </w:t>
      </w:r>
      <w:proofErr w:type="spellStart"/>
      <w:r w:rsidR="00D32152" w:rsidRPr="000D1E6C">
        <w:rPr>
          <w:bCs/>
        </w:rPr>
        <w:t>V.Ļevčenoks</w:t>
      </w:r>
      <w:proofErr w:type="spellEnd"/>
      <w:r w:rsidR="00D32152" w:rsidRPr="000D1E6C">
        <w:rPr>
          <w:bCs/>
        </w:rPr>
        <w:t xml:space="preserve">, </w:t>
      </w:r>
      <w:proofErr w:type="spellStart"/>
      <w:r w:rsidR="00D32152" w:rsidRPr="000D1E6C">
        <w:rPr>
          <w:bCs/>
        </w:rPr>
        <w:t>M.Buškevics</w:t>
      </w:r>
      <w:proofErr w:type="spellEnd"/>
      <w:r w:rsidR="00D32152" w:rsidRPr="000D1E6C">
        <w:rPr>
          <w:bCs/>
        </w:rPr>
        <w:t xml:space="preserve">, </w:t>
      </w:r>
      <w:proofErr w:type="spellStart"/>
      <w:r w:rsidR="00D32152" w:rsidRPr="000D1E6C">
        <w:rPr>
          <w:bCs/>
        </w:rPr>
        <w:t>I.Bandeniece</w:t>
      </w:r>
      <w:proofErr w:type="spellEnd"/>
      <w:r w:rsidR="00D32152" w:rsidRPr="000D1E6C">
        <w:rPr>
          <w:bCs/>
        </w:rPr>
        <w:t xml:space="preserve">, </w:t>
      </w:r>
      <w:proofErr w:type="spellStart"/>
      <w:r w:rsidR="00D32152" w:rsidRPr="000D1E6C">
        <w:rPr>
          <w:bCs/>
        </w:rPr>
        <w:t>J.Strods</w:t>
      </w:r>
      <w:proofErr w:type="spellEnd"/>
      <w:r w:rsidR="00D32152" w:rsidRPr="000D1E6C">
        <w:rPr>
          <w:bCs/>
        </w:rPr>
        <w:t xml:space="preserve">, </w:t>
      </w:r>
      <w:proofErr w:type="spellStart"/>
      <w:r w:rsidR="00D32152" w:rsidRPr="000D1E6C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D32152" w:rsidRPr="000D1E6C">
        <w:rPr>
          <w:bCs/>
        </w:rPr>
        <w:t>),</w:t>
      </w:r>
      <w:r w:rsidR="00D32152" w:rsidRPr="000D1E6C">
        <w:rPr>
          <w:b/>
          <w:bCs/>
        </w:rPr>
        <w:t xml:space="preserve"> PRET – nav</w:t>
      </w:r>
      <w:r w:rsidR="00D32152" w:rsidRPr="000D1E6C">
        <w:rPr>
          <w:bCs/>
        </w:rPr>
        <w:t>,</w:t>
      </w:r>
      <w:r w:rsidR="00D32152" w:rsidRPr="000D1E6C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FD1663">
        <w:rPr>
          <w:bCs/>
        </w:rPr>
        <w:t>(</w:t>
      </w:r>
      <w:proofErr w:type="spellStart"/>
      <w:r w:rsidRPr="00FD1663">
        <w:rPr>
          <w:bCs/>
        </w:rPr>
        <w:t>A.Pagors</w:t>
      </w:r>
      <w:proofErr w:type="spellEnd"/>
      <w:r w:rsidRPr="00FD1663">
        <w:rPr>
          <w:bCs/>
        </w:rPr>
        <w:t xml:space="preserve">, </w:t>
      </w:r>
      <w:proofErr w:type="spellStart"/>
      <w:r w:rsidRPr="00FD1663">
        <w:rPr>
          <w:bCs/>
        </w:rPr>
        <w:t>G.Kurlovičs</w:t>
      </w:r>
      <w:proofErr w:type="spellEnd"/>
      <w:r w:rsidRPr="00FD1663">
        <w:rPr>
          <w:bCs/>
        </w:rPr>
        <w:t xml:space="preserve">, </w:t>
      </w:r>
      <w:proofErr w:type="spellStart"/>
      <w:r w:rsidRPr="00FD1663">
        <w:rPr>
          <w:bCs/>
        </w:rPr>
        <w:t>A.Rublis</w:t>
      </w:r>
      <w:proofErr w:type="spellEnd"/>
      <w:r w:rsidRPr="00FD1663">
        <w:rPr>
          <w:bCs/>
        </w:rPr>
        <w:t xml:space="preserve">, </w:t>
      </w:r>
      <w:proofErr w:type="spellStart"/>
      <w:r w:rsidRPr="00FD1663">
        <w:rPr>
          <w:bCs/>
        </w:rPr>
        <w:t>A.Tomašūns</w:t>
      </w:r>
      <w:proofErr w:type="spellEnd"/>
      <w:r w:rsidRPr="00FD1663">
        <w:rPr>
          <w:bCs/>
        </w:rPr>
        <w:t>)</w:t>
      </w:r>
      <w:r w:rsidR="00D32152" w:rsidRPr="00FD1663">
        <w:rPr>
          <w:color w:val="000000"/>
        </w:rPr>
        <w:t>,</w:t>
      </w:r>
      <w:r w:rsidR="00D32152" w:rsidRPr="00FD1663">
        <w:tab/>
      </w:r>
    </w:p>
    <w:p w14:paraId="5AD82985" w14:textId="36298ACD" w:rsidR="00E61AB9" w:rsidRPr="00280F16" w:rsidRDefault="00280F16" w:rsidP="00387786">
      <w:pPr>
        <w:pStyle w:val="BodyText"/>
        <w:ind w:firstLine="720"/>
        <w:jc w:val="both"/>
      </w:pPr>
      <w:r w:rsidRPr="00280F16">
        <w:t>Pamatojoties uz likuma “Par valsts budžetu 2024. gadam un budžeta ietvaru 2024., 2025. un 2026</w:t>
      </w:r>
      <w:r>
        <w:t xml:space="preserve">.gadam” 38. pantu, </w:t>
      </w:r>
      <w:r w:rsidR="005C3093" w:rsidRPr="00280F16">
        <w:t xml:space="preserve">lai stabilizētu Jelgavas </w:t>
      </w:r>
      <w:proofErr w:type="spellStart"/>
      <w:r w:rsidR="005C3093" w:rsidRPr="00280F16">
        <w:t>valstspilsētas</w:t>
      </w:r>
      <w:proofErr w:type="spellEnd"/>
      <w:r w:rsidR="005C3093" w:rsidRPr="00280F16">
        <w:t xml:space="preserve"> pašvaldības aizņēmumu saistību plūsmu, līdzsvarojot kopējo saistību atmaksas grafiku</w:t>
      </w:r>
      <w:r w:rsidR="00157FB5" w:rsidRPr="00280F16">
        <w:t>,</w:t>
      </w:r>
    </w:p>
    <w:p w14:paraId="31BDC31C" w14:textId="77777777" w:rsidR="00E61AB9" w:rsidRPr="00280F16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</w:p>
    <w:p w14:paraId="57F2E34F" w14:textId="77777777" w:rsidR="00E61AB9" w:rsidRPr="00280F16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280F16">
        <w:rPr>
          <w:b/>
          <w:bCs/>
          <w:lang w:val="lv-LV"/>
        </w:rPr>
        <w:t xml:space="preserve">JELGAVAS </w:t>
      </w:r>
      <w:r w:rsidR="001C629A" w:rsidRPr="00280F16">
        <w:rPr>
          <w:b/>
          <w:bCs/>
          <w:lang w:val="lv-LV"/>
        </w:rPr>
        <w:t>VALSTS</w:t>
      </w:r>
      <w:r w:rsidR="001B2E18" w:rsidRPr="00280F16">
        <w:rPr>
          <w:b/>
          <w:bCs/>
          <w:lang w:val="lv-LV"/>
        </w:rPr>
        <w:t>PILSĒTAS</w:t>
      </w:r>
      <w:r w:rsidR="007346CE" w:rsidRPr="00280F16">
        <w:rPr>
          <w:b/>
          <w:bCs/>
          <w:lang w:val="lv-LV"/>
        </w:rPr>
        <w:t xml:space="preserve"> PAŠVALDĪBAS</w:t>
      </w:r>
      <w:r w:rsidR="001B2E18" w:rsidRPr="00280F16">
        <w:rPr>
          <w:b/>
          <w:bCs/>
          <w:lang w:val="lv-LV"/>
        </w:rPr>
        <w:t xml:space="preserve"> </w:t>
      </w:r>
      <w:r w:rsidRPr="00280F16">
        <w:rPr>
          <w:b/>
          <w:bCs/>
          <w:lang w:val="lv-LV"/>
        </w:rPr>
        <w:t>DOME NOLEMJ:</w:t>
      </w:r>
    </w:p>
    <w:p w14:paraId="72BEA83F" w14:textId="4B033F4E" w:rsidR="00280F16" w:rsidRPr="00280F16" w:rsidRDefault="00280F16" w:rsidP="00280F1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80F16">
        <w:rPr>
          <w:lang w:val="lv-LV"/>
        </w:rPr>
        <w:t xml:space="preserve">Izdarīt grozījumus Jelgavas </w:t>
      </w:r>
      <w:proofErr w:type="spellStart"/>
      <w:r w:rsidRPr="00280F16">
        <w:rPr>
          <w:lang w:val="lv-LV"/>
        </w:rPr>
        <w:t>valstspilsētas</w:t>
      </w:r>
      <w:proofErr w:type="spellEnd"/>
      <w:r w:rsidRPr="00280F16">
        <w:rPr>
          <w:lang w:val="lv-LV"/>
        </w:rPr>
        <w:t xml:space="preserve"> pašvaldības domes 2023.</w:t>
      </w:r>
      <w:r w:rsidR="000020FA">
        <w:rPr>
          <w:lang w:val="lv-LV"/>
        </w:rPr>
        <w:t xml:space="preserve"> </w:t>
      </w:r>
      <w:r w:rsidRPr="00280F16">
        <w:rPr>
          <w:lang w:val="lv-LV"/>
        </w:rPr>
        <w:t>gada 21.</w:t>
      </w:r>
      <w:r w:rsidR="000020FA">
        <w:rPr>
          <w:lang w:val="lv-LV"/>
        </w:rPr>
        <w:t xml:space="preserve"> decembra lēmumā Nr.13/</w:t>
      </w:r>
      <w:r w:rsidRPr="00280F16">
        <w:rPr>
          <w:lang w:val="lv-LV"/>
        </w:rPr>
        <w:t>30 “Ar Valsts kasi noslēgtā aizdevuma līg</w:t>
      </w:r>
      <w:bookmarkStart w:id="0" w:name="_GoBack"/>
      <w:bookmarkEnd w:id="0"/>
      <w:r w:rsidRPr="00280F16">
        <w:rPr>
          <w:lang w:val="lv-LV"/>
        </w:rPr>
        <w:t>uma pārjaunošana un ilgtermiņa aizņēmumu ņemšana 2024.</w:t>
      </w:r>
      <w:r w:rsidR="000020FA">
        <w:rPr>
          <w:lang w:val="lv-LV"/>
        </w:rPr>
        <w:t xml:space="preserve"> </w:t>
      </w:r>
      <w:r w:rsidRPr="00280F16">
        <w:rPr>
          <w:lang w:val="lv-LV"/>
        </w:rPr>
        <w:t xml:space="preserve">gadā” </w:t>
      </w:r>
      <w:r w:rsidR="006D24C8">
        <w:rPr>
          <w:lang w:val="lv-LV"/>
        </w:rPr>
        <w:t xml:space="preserve">(turpmāk – lēmums) </w:t>
      </w:r>
      <w:r w:rsidRPr="00280F16">
        <w:rPr>
          <w:lang w:val="lv-LV"/>
        </w:rPr>
        <w:t>šādus grozījumus:</w:t>
      </w:r>
    </w:p>
    <w:p w14:paraId="4205DCD9" w14:textId="3F8092B9" w:rsidR="00AF1523" w:rsidRDefault="00FE3CCE" w:rsidP="00AA478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</w:t>
      </w:r>
      <w:r w:rsidR="00AF1523">
        <w:rPr>
          <w:lang w:val="lv-LV"/>
        </w:rPr>
        <w:t xml:space="preserve">apildināt lēmuma preambulu </w:t>
      </w:r>
      <w:r w:rsidR="00E81DE8">
        <w:rPr>
          <w:lang w:val="lv-LV"/>
        </w:rPr>
        <w:t xml:space="preserve">aiz vārda “nodaļu” </w:t>
      </w:r>
      <w:r w:rsidR="00AF1523">
        <w:rPr>
          <w:lang w:val="lv-LV"/>
        </w:rPr>
        <w:t xml:space="preserve">ar </w:t>
      </w:r>
      <w:r w:rsidR="00E81DE8">
        <w:rPr>
          <w:lang w:val="lv-LV"/>
        </w:rPr>
        <w:t xml:space="preserve">vārdiem un skaitļiem “, </w:t>
      </w:r>
      <w:r w:rsidR="00E81DE8" w:rsidRPr="00E523B7">
        <w:rPr>
          <w:lang w:val="lv-LV"/>
        </w:rPr>
        <w:t>likuma “Par valsts budžetu 2024. gadam un budžeta ietvaru 2024., 2025. un 2026.</w:t>
      </w:r>
      <w:r w:rsidR="000020FA">
        <w:rPr>
          <w:lang w:val="lv-LV"/>
        </w:rPr>
        <w:t xml:space="preserve"> </w:t>
      </w:r>
      <w:r w:rsidR="00E81DE8" w:rsidRPr="00E523B7">
        <w:rPr>
          <w:lang w:val="lv-LV"/>
        </w:rPr>
        <w:t>gadam” 38. pantu</w:t>
      </w:r>
      <w:r w:rsidR="00E81DE8">
        <w:rPr>
          <w:lang w:val="lv-LV"/>
        </w:rPr>
        <w:t>”</w:t>
      </w:r>
      <w:r>
        <w:rPr>
          <w:lang w:val="lv-LV"/>
        </w:rPr>
        <w:t>;</w:t>
      </w:r>
    </w:p>
    <w:p w14:paraId="1749678F" w14:textId="3AF798FE" w:rsidR="00280F16" w:rsidRPr="00280F16" w:rsidRDefault="00FE3CCE" w:rsidP="00AA478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280F16" w:rsidRPr="00280F16">
        <w:rPr>
          <w:lang w:val="lv-LV"/>
        </w:rPr>
        <w:t xml:space="preserve">zteikt lēmuma 1.punktu </w:t>
      </w:r>
      <w:r w:rsidR="00AF1523">
        <w:rPr>
          <w:lang w:val="lv-LV"/>
        </w:rPr>
        <w:t>šādā</w:t>
      </w:r>
      <w:r w:rsidR="00AF1523" w:rsidRPr="00280F16">
        <w:rPr>
          <w:lang w:val="lv-LV"/>
        </w:rPr>
        <w:t xml:space="preserve"> </w:t>
      </w:r>
      <w:r w:rsidR="00280F16" w:rsidRPr="00280F16">
        <w:rPr>
          <w:lang w:val="lv-LV"/>
        </w:rPr>
        <w:t>redakcijā</w:t>
      </w:r>
      <w:r w:rsidR="00280F16">
        <w:rPr>
          <w:lang w:val="lv-LV"/>
        </w:rPr>
        <w:t>:</w:t>
      </w:r>
    </w:p>
    <w:p w14:paraId="54868EF7" w14:textId="4084BE2D" w:rsidR="00280F16" w:rsidRDefault="00280F16" w:rsidP="00280F16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  <w:r>
        <w:rPr>
          <w:lang w:val="lv-LV"/>
        </w:rPr>
        <w:t xml:space="preserve">“1. Lūgt </w:t>
      </w:r>
      <w:r w:rsidRPr="00AA4787">
        <w:rPr>
          <w:lang w:val="lv-LV"/>
        </w:rPr>
        <w:t xml:space="preserve">Valsts kasi </w:t>
      </w:r>
      <w:r>
        <w:rPr>
          <w:lang w:val="lv-LV"/>
        </w:rPr>
        <w:t>grozīt atmaksas grafiku</w:t>
      </w:r>
      <w:r w:rsidRPr="00AA4787">
        <w:rPr>
          <w:lang w:val="lv-LV"/>
        </w:rPr>
        <w:t xml:space="preserve"> 2018.</w:t>
      </w:r>
      <w:r w:rsidR="000020FA">
        <w:rPr>
          <w:lang w:val="lv-LV"/>
        </w:rPr>
        <w:t xml:space="preserve"> </w:t>
      </w:r>
      <w:r w:rsidRPr="00AA4787">
        <w:rPr>
          <w:lang w:val="lv-LV"/>
        </w:rPr>
        <w:t>gada 6.</w:t>
      </w:r>
      <w:r w:rsidR="000020FA">
        <w:rPr>
          <w:lang w:val="lv-LV"/>
        </w:rPr>
        <w:t xml:space="preserve"> </w:t>
      </w:r>
      <w:r w:rsidRPr="00AA4787">
        <w:rPr>
          <w:lang w:val="lv-LV"/>
        </w:rPr>
        <w:t>jūlij</w:t>
      </w:r>
      <w:r>
        <w:rPr>
          <w:lang w:val="lv-LV"/>
        </w:rPr>
        <w:t>a</w:t>
      </w:r>
      <w:r w:rsidRPr="00AA4787">
        <w:rPr>
          <w:lang w:val="lv-LV"/>
        </w:rPr>
        <w:t xml:space="preserve"> pārjaunojuma līguma</w:t>
      </w:r>
      <w:r>
        <w:rPr>
          <w:lang w:val="lv-LV"/>
        </w:rPr>
        <w:t>m</w:t>
      </w:r>
      <w:r w:rsidRPr="00AA4787">
        <w:rPr>
          <w:lang w:val="lv-LV"/>
        </w:rPr>
        <w:t xml:space="preserve"> Nr.A2/1/18/441 (</w:t>
      </w:r>
      <w:proofErr w:type="spellStart"/>
      <w:r w:rsidRPr="00AA4787">
        <w:rPr>
          <w:lang w:val="lv-LV"/>
        </w:rPr>
        <w:t>trančes</w:t>
      </w:r>
      <w:proofErr w:type="spellEnd"/>
      <w:r w:rsidRPr="00AA4787">
        <w:rPr>
          <w:lang w:val="lv-LV"/>
        </w:rPr>
        <w:t xml:space="preserve"> Nr.PP-13/2018)</w:t>
      </w:r>
      <w:r>
        <w:rPr>
          <w:lang w:val="lv-LV"/>
        </w:rPr>
        <w:t>, kur n</w:t>
      </w:r>
      <w:r w:rsidRPr="00AA4787">
        <w:rPr>
          <w:lang w:val="lv-LV"/>
        </w:rPr>
        <w:t>eatmaksātā</w:t>
      </w:r>
      <w:r>
        <w:rPr>
          <w:lang w:val="lv-LV"/>
        </w:rPr>
        <w:t xml:space="preserve"> aizdevuma summa uz 2024.</w:t>
      </w:r>
      <w:r w:rsidR="000020FA">
        <w:rPr>
          <w:lang w:val="lv-LV"/>
        </w:rPr>
        <w:t xml:space="preserve"> </w:t>
      </w:r>
      <w:r>
        <w:rPr>
          <w:lang w:val="lv-LV"/>
        </w:rPr>
        <w:t>gada 1</w:t>
      </w:r>
      <w:r w:rsidRPr="00AA4787">
        <w:rPr>
          <w:lang w:val="lv-LV"/>
        </w:rPr>
        <w:t>.</w:t>
      </w:r>
      <w:r>
        <w:rPr>
          <w:lang w:val="lv-LV"/>
        </w:rPr>
        <w:t>janvāri</w:t>
      </w:r>
      <w:r w:rsidRPr="00AA4787">
        <w:rPr>
          <w:lang w:val="lv-LV"/>
        </w:rPr>
        <w:t xml:space="preserve"> ir </w:t>
      </w:r>
      <w:r>
        <w:rPr>
          <w:lang w:val="lv-LV"/>
        </w:rPr>
        <w:t>18 116 240,00</w:t>
      </w:r>
      <w:r w:rsidRPr="00AA4787">
        <w:rPr>
          <w:lang w:val="lv-LV"/>
        </w:rPr>
        <w:t xml:space="preserve"> </w:t>
      </w:r>
      <w:proofErr w:type="spellStart"/>
      <w:r w:rsidRPr="00AA4787">
        <w:rPr>
          <w:i/>
          <w:lang w:val="lv-LV"/>
        </w:rPr>
        <w:t>euro</w:t>
      </w:r>
      <w:proofErr w:type="spellEnd"/>
      <w:r>
        <w:rPr>
          <w:lang w:val="lv-LV"/>
        </w:rPr>
        <w:t xml:space="preserve"> (astoņ</w:t>
      </w:r>
      <w:r w:rsidRPr="00AA4787">
        <w:rPr>
          <w:lang w:val="lv-LV"/>
        </w:rPr>
        <w:t>padsmit miljoni viens simts seš</w:t>
      </w:r>
      <w:r>
        <w:rPr>
          <w:lang w:val="lv-LV"/>
        </w:rPr>
        <w:t>padsmit tūks</w:t>
      </w:r>
      <w:r w:rsidRPr="00AA4787">
        <w:rPr>
          <w:lang w:val="lv-LV"/>
        </w:rPr>
        <w:t xml:space="preserve">toši </w:t>
      </w:r>
      <w:r>
        <w:rPr>
          <w:lang w:val="lv-LV"/>
        </w:rPr>
        <w:t>divi simti četr</w:t>
      </w:r>
      <w:r w:rsidRPr="00AA4787">
        <w:rPr>
          <w:lang w:val="lv-LV"/>
        </w:rPr>
        <w:t xml:space="preserve">desmit </w:t>
      </w:r>
      <w:proofErr w:type="spellStart"/>
      <w:r w:rsidRPr="00AA4787">
        <w:rPr>
          <w:i/>
          <w:lang w:val="lv-LV"/>
        </w:rPr>
        <w:t>euro</w:t>
      </w:r>
      <w:proofErr w:type="spellEnd"/>
      <w:r w:rsidRPr="00AA4787">
        <w:rPr>
          <w:lang w:val="lv-LV"/>
        </w:rPr>
        <w:t xml:space="preserve"> 00 </w:t>
      </w:r>
      <w:r w:rsidRPr="00E523B7">
        <w:rPr>
          <w:lang w:val="lv-LV"/>
        </w:rPr>
        <w:t>centi</w:t>
      </w:r>
      <w:r w:rsidRPr="00AA4787">
        <w:rPr>
          <w:lang w:val="lv-LV"/>
        </w:rPr>
        <w:t>)</w:t>
      </w:r>
      <w:r>
        <w:rPr>
          <w:lang w:val="lv-LV"/>
        </w:rPr>
        <w:t>, samazinot  2024.</w:t>
      </w:r>
      <w:r w:rsidR="000020FA">
        <w:rPr>
          <w:lang w:val="lv-LV"/>
        </w:rPr>
        <w:t xml:space="preserve"> </w:t>
      </w:r>
      <w:r>
        <w:rPr>
          <w:lang w:val="lv-LV"/>
        </w:rPr>
        <w:t>gadā plānotos pamatsummas maksājumus ne vairāk kā par aizdevuma procentu maksājuma pieaugumu, kas veidojas starp 2023.</w:t>
      </w:r>
      <w:r w:rsidR="000020FA">
        <w:rPr>
          <w:lang w:val="lv-LV"/>
        </w:rPr>
        <w:t xml:space="preserve"> </w:t>
      </w:r>
      <w:r>
        <w:rPr>
          <w:lang w:val="lv-LV"/>
        </w:rPr>
        <w:t>gada aizdevumu procentu kopsummu un 2024.</w:t>
      </w:r>
      <w:r w:rsidR="000020FA">
        <w:rPr>
          <w:lang w:val="lv-LV"/>
        </w:rPr>
        <w:t xml:space="preserve"> </w:t>
      </w:r>
      <w:r>
        <w:rPr>
          <w:lang w:val="lv-LV"/>
        </w:rPr>
        <w:t>gada aizdevumu procentu kopsummu, attiecīgi precizējot aizdevuma grafiku. Starpību, kas veidojas starp 2023.</w:t>
      </w:r>
      <w:r w:rsidR="000020FA">
        <w:rPr>
          <w:lang w:val="lv-LV"/>
        </w:rPr>
        <w:t xml:space="preserve"> </w:t>
      </w:r>
      <w:r>
        <w:rPr>
          <w:lang w:val="lv-LV"/>
        </w:rPr>
        <w:t>gada aizdevumu procentu kopsummu un 2024.</w:t>
      </w:r>
      <w:r w:rsidR="000020FA">
        <w:rPr>
          <w:lang w:val="lv-LV"/>
        </w:rPr>
        <w:t xml:space="preserve"> </w:t>
      </w:r>
      <w:r>
        <w:rPr>
          <w:lang w:val="lv-LV"/>
        </w:rPr>
        <w:t>gada aizdevumu procentu kopsummu, sadalīt proporcionāli no 2027.</w:t>
      </w:r>
      <w:r w:rsidR="000020FA">
        <w:rPr>
          <w:lang w:val="lv-LV"/>
        </w:rPr>
        <w:t xml:space="preserve"> </w:t>
      </w:r>
      <w:r>
        <w:rPr>
          <w:lang w:val="lv-LV"/>
        </w:rPr>
        <w:t>gada.”</w:t>
      </w:r>
      <w:r w:rsidR="006D24C8">
        <w:rPr>
          <w:lang w:val="lv-LV"/>
        </w:rPr>
        <w:t>;</w:t>
      </w:r>
    </w:p>
    <w:p w14:paraId="1F26EE5D" w14:textId="07444E3E" w:rsidR="006D24C8" w:rsidRPr="006D24C8" w:rsidRDefault="00FE3CCE" w:rsidP="00A026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</w:t>
      </w:r>
      <w:r w:rsidR="006D24C8" w:rsidRPr="006D24C8">
        <w:rPr>
          <w:lang w:val="lv-LV"/>
        </w:rPr>
        <w:t xml:space="preserve">ēmuma 3.2.punktā aizstāt skaitli un vārdus “260 000 </w:t>
      </w:r>
      <w:proofErr w:type="spellStart"/>
      <w:r w:rsidR="006D24C8" w:rsidRPr="006D24C8">
        <w:rPr>
          <w:i/>
          <w:lang w:val="lv-LV"/>
        </w:rPr>
        <w:t>euro</w:t>
      </w:r>
      <w:proofErr w:type="spellEnd"/>
      <w:r w:rsidR="006D24C8" w:rsidRPr="006D24C8">
        <w:rPr>
          <w:lang w:val="lv-LV"/>
        </w:rPr>
        <w:t xml:space="preserve"> (divi simti sešdesmit tūkstoši)” ar skaitli un vārdiem “252 657,08 </w:t>
      </w:r>
      <w:proofErr w:type="spellStart"/>
      <w:r w:rsidR="006D24C8" w:rsidRPr="006D24C8">
        <w:rPr>
          <w:i/>
          <w:lang w:val="lv-LV"/>
        </w:rPr>
        <w:t>euro</w:t>
      </w:r>
      <w:proofErr w:type="spellEnd"/>
      <w:r w:rsidR="006D24C8" w:rsidRPr="006D24C8">
        <w:rPr>
          <w:lang w:val="lv-LV"/>
        </w:rPr>
        <w:t xml:space="preserve"> (divi simti piecdesmit divi tūkstoši seši simti piecdesmit septiņi </w:t>
      </w:r>
      <w:proofErr w:type="spellStart"/>
      <w:r w:rsidR="006D24C8" w:rsidRPr="006D24C8">
        <w:rPr>
          <w:i/>
          <w:lang w:val="lv-LV"/>
        </w:rPr>
        <w:t>euro</w:t>
      </w:r>
      <w:proofErr w:type="spellEnd"/>
      <w:r w:rsidR="006D24C8" w:rsidRPr="006D24C8">
        <w:rPr>
          <w:i/>
          <w:lang w:val="lv-LV"/>
        </w:rPr>
        <w:t xml:space="preserve"> </w:t>
      </w:r>
      <w:r w:rsidR="006D24C8" w:rsidRPr="006D24C8">
        <w:rPr>
          <w:lang w:val="lv-LV"/>
        </w:rPr>
        <w:t>8</w:t>
      </w:r>
      <w:r w:rsidR="006D24C8" w:rsidRPr="006D24C8">
        <w:rPr>
          <w:i/>
          <w:lang w:val="lv-LV"/>
        </w:rPr>
        <w:t xml:space="preserve"> </w:t>
      </w:r>
      <w:r w:rsidR="006D24C8" w:rsidRPr="00E523B7">
        <w:rPr>
          <w:lang w:val="lv-LV"/>
        </w:rPr>
        <w:t>centi</w:t>
      </w:r>
      <w:r w:rsidR="006D24C8" w:rsidRPr="006D24C8">
        <w:rPr>
          <w:lang w:val="lv-LV"/>
        </w:rPr>
        <w:t>)”;</w:t>
      </w:r>
    </w:p>
    <w:p w14:paraId="20D5CC70" w14:textId="0962BC45" w:rsidR="006D24C8" w:rsidRPr="006D24C8" w:rsidRDefault="00FE3CCE" w:rsidP="00A026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  <w:r>
        <w:rPr>
          <w:lang w:val="lv-LV"/>
        </w:rPr>
        <w:t>l</w:t>
      </w:r>
      <w:r w:rsidR="006D24C8" w:rsidRPr="006D24C8">
        <w:rPr>
          <w:lang w:val="lv-LV"/>
        </w:rPr>
        <w:t>ēmuma 3.3. punktā aizstāt skaitli un vārdus “</w:t>
      </w:r>
      <w:r w:rsidR="006D24C8" w:rsidRPr="00AF1523">
        <w:rPr>
          <w:lang w:val="lv-LV"/>
        </w:rPr>
        <w:t xml:space="preserve">610 000 </w:t>
      </w:r>
      <w:proofErr w:type="spellStart"/>
      <w:r w:rsidR="006D24C8" w:rsidRPr="00AF1523">
        <w:rPr>
          <w:i/>
          <w:lang w:val="lv-LV"/>
        </w:rPr>
        <w:t>euro</w:t>
      </w:r>
      <w:proofErr w:type="spellEnd"/>
      <w:r w:rsidR="006D24C8" w:rsidRPr="00AF1523">
        <w:rPr>
          <w:i/>
          <w:lang w:val="lv-LV"/>
        </w:rPr>
        <w:t xml:space="preserve"> </w:t>
      </w:r>
      <w:r w:rsidR="006D24C8" w:rsidRPr="00AF1523">
        <w:rPr>
          <w:lang w:val="lv-LV"/>
        </w:rPr>
        <w:t>(</w:t>
      </w:r>
      <w:r w:rsidR="006D24C8" w:rsidRPr="00513EEC">
        <w:rPr>
          <w:lang w:val="lv-LV"/>
        </w:rPr>
        <w:t xml:space="preserve">seši simti desmit tūkstoši </w:t>
      </w:r>
      <w:proofErr w:type="spellStart"/>
      <w:r w:rsidR="006D24C8" w:rsidRPr="00513EEC">
        <w:rPr>
          <w:i/>
          <w:lang w:val="lv-LV"/>
        </w:rPr>
        <w:t>euro</w:t>
      </w:r>
      <w:proofErr w:type="spellEnd"/>
      <w:r w:rsidR="006D24C8" w:rsidRPr="00AF1523">
        <w:rPr>
          <w:lang w:val="lv-LV"/>
        </w:rPr>
        <w:t>)”</w:t>
      </w:r>
      <w:r w:rsidR="006D24C8" w:rsidRPr="006D24C8">
        <w:rPr>
          <w:lang w:val="lv-LV"/>
        </w:rPr>
        <w:t xml:space="preserve"> </w:t>
      </w:r>
      <w:r w:rsidR="006D24C8">
        <w:rPr>
          <w:lang w:val="lv-LV"/>
        </w:rPr>
        <w:t>ar skaitli un vārdiem “343 528,78 </w:t>
      </w:r>
      <w:proofErr w:type="spellStart"/>
      <w:r w:rsidR="006D24C8" w:rsidRPr="006D24C8">
        <w:rPr>
          <w:i/>
          <w:lang w:val="lv-LV"/>
        </w:rPr>
        <w:t>euro</w:t>
      </w:r>
      <w:proofErr w:type="spellEnd"/>
      <w:r w:rsidR="006D24C8">
        <w:rPr>
          <w:lang w:val="lv-LV"/>
        </w:rPr>
        <w:t xml:space="preserve"> (trīs simti četrdesmit trīs tūkstoši pieci simti divdesmit astoņi </w:t>
      </w:r>
      <w:proofErr w:type="spellStart"/>
      <w:r w:rsidR="006D24C8" w:rsidRPr="006D24C8">
        <w:rPr>
          <w:i/>
          <w:lang w:val="lv-LV"/>
        </w:rPr>
        <w:t>euro</w:t>
      </w:r>
      <w:proofErr w:type="spellEnd"/>
      <w:r w:rsidR="006D24C8">
        <w:rPr>
          <w:lang w:val="lv-LV"/>
        </w:rPr>
        <w:t xml:space="preserve"> 78 centi)”;</w:t>
      </w:r>
    </w:p>
    <w:p w14:paraId="5E2F2015" w14:textId="67FCE542" w:rsidR="006D24C8" w:rsidRDefault="00FE3CCE" w:rsidP="00A026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</w:t>
      </w:r>
      <w:r w:rsidR="006D24C8" w:rsidRPr="006D24C8">
        <w:rPr>
          <w:lang w:val="lv-LV"/>
        </w:rPr>
        <w:t>ēmuma 3.4. punktā aizstāt skaitli un vārdus “</w:t>
      </w:r>
      <w:r w:rsidR="006D24C8" w:rsidRPr="00AF1523">
        <w:rPr>
          <w:lang w:val="lv-LV"/>
        </w:rPr>
        <w:t xml:space="preserve">200 000 </w:t>
      </w:r>
      <w:proofErr w:type="spellStart"/>
      <w:r w:rsidR="006D24C8" w:rsidRPr="00AF1523">
        <w:rPr>
          <w:i/>
          <w:lang w:val="lv-LV"/>
        </w:rPr>
        <w:t>euro</w:t>
      </w:r>
      <w:proofErr w:type="spellEnd"/>
      <w:r w:rsidR="006D24C8" w:rsidRPr="00AF1523">
        <w:rPr>
          <w:i/>
          <w:lang w:val="lv-LV"/>
        </w:rPr>
        <w:t xml:space="preserve"> </w:t>
      </w:r>
      <w:r w:rsidR="006D24C8" w:rsidRPr="00AF1523">
        <w:rPr>
          <w:lang w:val="lv-LV"/>
        </w:rPr>
        <w:t>(</w:t>
      </w:r>
      <w:r w:rsidR="006D24C8" w:rsidRPr="006D24C8">
        <w:rPr>
          <w:lang w:val="lv-LV"/>
        </w:rPr>
        <w:t xml:space="preserve">divi simti tūkstoši </w:t>
      </w:r>
      <w:proofErr w:type="spellStart"/>
      <w:r w:rsidR="006D24C8" w:rsidRPr="006D24C8">
        <w:rPr>
          <w:i/>
          <w:lang w:val="lv-LV"/>
        </w:rPr>
        <w:t>euro</w:t>
      </w:r>
      <w:proofErr w:type="spellEnd"/>
      <w:r w:rsidR="006D24C8" w:rsidRPr="006D24C8">
        <w:rPr>
          <w:lang w:val="lv-LV"/>
        </w:rPr>
        <w:t xml:space="preserve">)” ar skaitli un vārdiem “197 141,00 </w:t>
      </w:r>
      <w:proofErr w:type="spellStart"/>
      <w:r w:rsidR="006D24C8" w:rsidRPr="00AF1523">
        <w:rPr>
          <w:i/>
          <w:lang w:val="lv-LV"/>
        </w:rPr>
        <w:t>euro</w:t>
      </w:r>
      <w:proofErr w:type="spellEnd"/>
      <w:r w:rsidR="006D24C8" w:rsidRPr="00AF1523">
        <w:rPr>
          <w:i/>
          <w:lang w:val="lv-LV"/>
        </w:rPr>
        <w:t xml:space="preserve"> </w:t>
      </w:r>
      <w:r w:rsidR="006D24C8" w:rsidRPr="00AF1523">
        <w:rPr>
          <w:lang w:val="lv-LV"/>
        </w:rPr>
        <w:t>(</w:t>
      </w:r>
      <w:r w:rsidR="006D24C8" w:rsidRPr="006D24C8">
        <w:rPr>
          <w:lang w:val="lv-LV"/>
        </w:rPr>
        <w:t xml:space="preserve">viens simts deviņdesmit septiņi tūkstoši viens simts četrdesmit viens </w:t>
      </w:r>
      <w:proofErr w:type="spellStart"/>
      <w:r w:rsidR="006D24C8" w:rsidRPr="006D24C8">
        <w:rPr>
          <w:i/>
          <w:lang w:val="lv-LV"/>
        </w:rPr>
        <w:t>euro</w:t>
      </w:r>
      <w:proofErr w:type="spellEnd"/>
      <w:r w:rsidR="006D24C8" w:rsidRPr="006D24C8">
        <w:rPr>
          <w:lang w:val="lv-LV"/>
        </w:rPr>
        <w:t>)”;</w:t>
      </w:r>
    </w:p>
    <w:p w14:paraId="345E5268" w14:textId="09EC64C8" w:rsidR="006D24C8" w:rsidRPr="006D24C8" w:rsidRDefault="00FE3CCE" w:rsidP="00A026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</w:t>
      </w:r>
      <w:r w:rsidR="006D24C8">
        <w:rPr>
          <w:lang w:val="lv-LV"/>
        </w:rPr>
        <w:t>vītrot lēmuma 3.5.punktu.</w:t>
      </w:r>
    </w:p>
    <w:p w14:paraId="61BD9284" w14:textId="034B5691" w:rsidR="00342504" w:rsidRDefault="00342504">
      <w:pPr>
        <w:jc w:val="both"/>
        <w:rPr>
          <w:color w:val="FF0000"/>
        </w:rPr>
      </w:pPr>
    </w:p>
    <w:p w14:paraId="0125ADA2" w14:textId="77777777" w:rsidR="000020FA" w:rsidRPr="00280F16" w:rsidRDefault="000020FA">
      <w:pPr>
        <w:jc w:val="both"/>
        <w:rPr>
          <w:color w:val="FF0000"/>
        </w:rPr>
      </w:pPr>
    </w:p>
    <w:p w14:paraId="65036F37" w14:textId="77777777" w:rsidR="00D32152" w:rsidRPr="00FB69DB" w:rsidRDefault="00D32152" w:rsidP="00D32152">
      <w:pPr>
        <w:rPr>
          <w:bCs/>
          <w:color w:val="000000"/>
        </w:rPr>
      </w:pPr>
      <w:r w:rsidRPr="00FB69DB">
        <w:rPr>
          <w:bCs/>
          <w:color w:val="000000"/>
        </w:rPr>
        <w:lastRenderedPageBreak/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4FCE7A8E" w14:textId="77777777" w:rsidR="00D32152" w:rsidRPr="00FB69DB" w:rsidRDefault="00D32152" w:rsidP="00D32152">
      <w:pPr>
        <w:rPr>
          <w:color w:val="000000"/>
          <w:lang w:eastAsia="lv-LV"/>
        </w:rPr>
      </w:pPr>
    </w:p>
    <w:p w14:paraId="3F4070CE" w14:textId="77777777" w:rsidR="00D32152" w:rsidRPr="00FB69DB" w:rsidRDefault="00D32152" w:rsidP="00D32152">
      <w:pPr>
        <w:rPr>
          <w:color w:val="000000"/>
          <w:lang w:eastAsia="lv-LV"/>
        </w:rPr>
      </w:pPr>
    </w:p>
    <w:p w14:paraId="263452CC" w14:textId="77777777" w:rsidR="00D32152" w:rsidRPr="00FB69DB" w:rsidRDefault="00D32152" w:rsidP="00D32152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40592C48" w14:textId="77777777" w:rsidR="00D32152" w:rsidRPr="00FB69DB" w:rsidRDefault="00D32152" w:rsidP="00D32152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3804ADA2" w14:textId="77777777" w:rsidR="00D32152" w:rsidRPr="00FB69DB" w:rsidRDefault="00D32152" w:rsidP="00D32152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2685F3C6" w14:textId="77777777" w:rsidR="00D32152" w:rsidRPr="00FB69DB" w:rsidRDefault="00D32152" w:rsidP="00D32152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7BE5B730" w14:textId="77777777" w:rsidR="00D32152" w:rsidRPr="00FB69DB" w:rsidRDefault="00D32152" w:rsidP="00D32152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36B1987C" w14:textId="77777777" w:rsidR="00D32152" w:rsidRDefault="00D32152" w:rsidP="00D32152">
      <w:r>
        <w:t>2024. gada 20</w:t>
      </w:r>
      <w:r w:rsidRPr="00FB69DB">
        <w:t xml:space="preserve">. </w:t>
      </w:r>
      <w:r>
        <w:t>februārī</w:t>
      </w:r>
    </w:p>
    <w:sectPr w:rsidR="00D32152" w:rsidSect="00FA7157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6678A8" w16cid:durableId="3695DF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622E0" w14:textId="77777777" w:rsidR="00FD6A5F" w:rsidRDefault="00FD6A5F">
      <w:r>
        <w:separator/>
      </w:r>
    </w:p>
  </w:endnote>
  <w:endnote w:type="continuationSeparator" w:id="0">
    <w:p w14:paraId="4085F07D" w14:textId="77777777" w:rsidR="00FD6A5F" w:rsidRDefault="00FD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78703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2086CB6" w14:textId="69229F39" w:rsidR="00387786" w:rsidRPr="00D32152" w:rsidRDefault="003539DC" w:rsidP="00D3215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1BAE4" w14:textId="77777777" w:rsidR="00FD6A5F" w:rsidRDefault="00FD6A5F">
      <w:r>
        <w:separator/>
      </w:r>
    </w:p>
  </w:footnote>
  <w:footnote w:type="continuationSeparator" w:id="0">
    <w:p w14:paraId="75D0AE62" w14:textId="77777777" w:rsidR="00FD6A5F" w:rsidRDefault="00FD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69A3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0D4D4E7" wp14:editId="5FF89F32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B6B67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1841ED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4A0363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F9B9F07" w14:textId="77777777" w:rsidTr="00F72368">
      <w:trPr>
        <w:jc w:val="center"/>
      </w:trPr>
      <w:tc>
        <w:tcPr>
          <w:tcW w:w="8528" w:type="dxa"/>
        </w:tcPr>
        <w:p w14:paraId="214C851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0307BD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F0B34E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3AAAF13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8A"/>
    <w:rsid w:val="000020FA"/>
    <w:rsid w:val="000423CE"/>
    <w:rsid w:val="00071060"/>
    <w:rsid w:val="00076D9D"/>
    <w:rsid w:val="000A41C4"/>
    <w:rsid w:val="000B56E7"/>
    <w:rsid w:val="000C1C16"/>
    <w:rsid w:val="000C4CB0"/>
    <w:rsid w:val="000E4EB6"/>
    <w:rsid w:val="00110DEA"/>
    <w:rsid w:val="00126D62"/>
    <w:rsid w:val="00126E4A"/>
    <w:rsid w:val="00142111"/>
    <w:rsid w:val="00157FB5"/>
    <w:rsid w:val="00197F0A"/>
    <w:rsid w:val="001B2E18"/>
    <w:rsid w:val="001B3F72"/>
    <w:rsid w:val="001B658A"/>
    <w:rsid w:val="001C104F"/>
    <w:rsid w:val="001C629A"/>
    <w:rsid w:val="001C6392"/>
    <w:rsid w:val="002051D3"/>
    <w:rsid w:val="00207A84"/>
    <w:rsid w:val="002438AA"/>
    <w:rsid w:val="00280F16"/>
    <w:rsid w:val="002914DE"/>
    <w:rsid w:val="0029227E"/>
    <w:rsid w:val="002A17A6"/>
    <w:rsid w:val="002A71EA"/>
    <w:rsid w:val="002B73B4"/>
    <w:rsid w:val="002D745A"/>
    <w:rsid w:val="0031251F"/>
    <w:rsid w:val="00324AD4"/>
    <w:rsid w:val="00342504"/>
    <w:rsid w:val="003539DC"/>
    <w:rsid w:val="00387786"/>
    <w:rsid w:val="003904DC"/>
    <w:rsid w:val="003959A1"/>
    <w:rsid w:val="003D12D3"/>
    <w:rsid w:val="003D3239"/>
    <w:rsid w:val="003D5C89"/>
    <w:rsid w:val="00424249"/>
    <w:rsid w:val="004278E3"/>
    <w:rsid w:val="004407DF"/>
    <w:rsid w:val="0044759D"/>
    <w:rsid w:val="004A07D3"/>
    <w:rsid w:val="004D47D9"/>
    <w:rsid w:val="005031A0"/>
    <w:rsid w:val="00503BF4"/>
    <w:rsid w:val="00513EEC"/>
    <w:rsid w:val="00516165"/>
    <w:rsid w:val="00524D19"/>
    <w:rsid w:val="00540422"/>
    <w:rsid w:val="00560FB3"/>
    <w:rsid w:val="00577970"/>
    <w:rsid w:val="005931AB"/>
    <w:rsid w:val="005C3093"/>
    <w:rsid w:val="005F07BD"/>
    <w:rsid w:val="0060175D"/>
    <w:rsid w:val="0063151B"/>
    <w:rsid w:val="00631B8B"/>
    <w:rsid w:val="0063637A"/>
    <w:rsid w:val="006457D0"/>
    <w:rsid w:val="0066057F"/>
    <w:rsid w:val="0066324F"/>
    <w:rsid w:val="0066730B"/>
    <w:rsid w:val="006778E6"/>
    <w:rsid w:val="006C44F5"/>
    <w:rsid w:val="006D24C8"/>
    <w:rsid w:val="006D62C3"/>
    <w:rsid w:val="007066AF"/>
    <w:rsid w:val="00720161"/>
    <w:rsid w:val="007346CE"/>
    <w:rsid w:val="007419F0"/>
    <w:rsid w:val="007456EC"/>
    <w:rsid w:val="007464A2"/>
    <w:rsid w:val="00752C56"/>
    <w:rsid w:val="0076543C"/>
    <w:rsid w:val="007A7C11"/>
    <w:rsid w:val="007F54F5"/>
    <w:rsid w:val="00802131"/>
    <w:rsid w:val="00807AB7"/>
    <w:rsid w:val="00827057"/>
    <w:rsid w:val="008562DC"/>
    <w:rsid w:val="00863F38"/>
    <w:rsid w:val="00880030"/>
    <w:rsid w:val="00892EB6"/>
    <w:rsid w:val="00946181"/>
    <w:rsid w:val="00952AE9"/>
    <w:rsid w:val="00972903"/>
    <w:rsid w:val="0097415D"/>
    <w:rsid w:val="00977D2A"/>
    <w:rsid w:val="009C00E0"/>
    <w:rsid w:val="00A0232C"/>
    <w:rsid w:val="00A0263D"/>
    <w:rsid w:val="00A307DF"/>
    <w:rsid w:val="00A61C73"/>
    <w:rsid w:val="00A773CE"/>
    <w:rsid w:val="00A86472"/>
    <w:rsid w:val="00A867C4"/>
    <w:rsid w:val="00A966A4"/>
    <w:rsid w:val="00AA4787"/>
    <w:rsid w:val="00AA6D58"/>
    <w:rsid w:val="00AE3610"/>
    <w:rsid w:val="00AF1523"/>
    <w:rsid w:val="00B03FD3"/>
    <w:rsid w:val="00B35B4C"/>
    <w:rsid w:val="00B50022"/>
    <w:rsid w:val="00B51C9C"/>
    <w:rsid w:val="00B64D4D"/>
    <w:rsid w:val="00B746FE"/>
    <w:rsid w:val="00BB795F"/>
    <w:rsid w:val="00BC0063"/>
    <w:rsid w:val="00C03CB1"/>
    <w:rsid w:val="00C1484E"/>
    <w:rsid w:val="00C205BD"/>
    <w:rsid w:val="00C36D3B"/>
    <w:rsid w:val="00C516D8"/>
    <w:rsid w:val="00C6024C"/>
    <w:rsid w:val="00C75E2C"/>
    <w:rsid w:val="00C86BBA"/>
    <w:rsid w:val="00C9728B"/>
    <w:rsid w:val="00CA0990"/>
    <w:rsid w:val="00CA3E77"/>
    <w:rsid w:val="00CC1DD5"/>
    <w:rsid w:val="00CC74FB"/>
    <w:rsid w:val="00CD139B"/>
    <w:rsid w:val="00CD2FC4"/>
    <w:rsid w:val="00CD73CA"/>
    <w:rsid w:val="00D00D85"/>
    <w:rsid w:val="00D04421"/>
    <w:rsid w:val="00D10B22"/>
    <w:rsid w:val="00D1121C"/>
    <w:rsid w:val="00D32152"/>
    <w:rsid w:val="00D52535"/>
    <w:rsid w:val="00D54E27"/>
    <w:rsid w:val="00D55237"/>
    <w:rsid w:val="00DA0D00"/>
    <w:rsid w:val="00DC5428"/>
    <w:rsid w:val="00DE5DE5"/>
    <w:rsid w:val="00E02584"/>
    <w:rsid w:val="00E3404B"/>
    <w:rsid w:val="00E523B7"/>
    <w:rsid w:val="00E61AB9"/>
    <w:rsid w:val="00E81DE8"/>
    <w:rsid w:val="00E85676"/>
    <w:rsid w:val="00EA770A"/>
    <w:rsid w:val="00EB10AE"/>
    <w:rsid w:val="00EC1D58"/>
    <w:rsid w:val="00EC3FC4"/>
    <w:rsid w:val="00EC4C76"/>
    <w:rsid w:val="00EC518D"/>
    <w:rsid w:val="00F05A66"/>
    <w:rsid w:val="00F3143C"/>
    <w:rsid w:val="00F509F1"/>
    <w:rsid w:val="00F55FB8"/>
    <w:rsid w:val="00F72368"/>
    <w:rsid w:val="00F848CF"/>
    <w:rsid w:val="00FA7157"/>
    <w:rsid w:val="00FB6B06"/>
    <w:rsid w:val="00FB7367"/>
    <w:rsid w:val="00FD1663"/>
    <w:rsid w:val="00FD6A5F"/>
    <w:rsid w:val="00FD76F7"/>
    <w:rsid w:val="00FE2AC0"/>
    <w:rsid w:val="00FE3CCE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616B558"/>
  <w15:docId w15:val="{53F51600-7343-49A1-AB80-AE58BDB0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C6024C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C6024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52C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2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2C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2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2C5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39DC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280F16"/>
    <w:rPr>
      <w:sz w:val="24"/>
      <w:lang w:val="en-US"/>
    </w:rPr>
  </w:style>
  <w:style w:type="paragraph" w:styleId="Revision">
    <w:name w:val="Revision"/>
    <w:hidden/>
    <w:uiPriority w:val="99"/>
    <w:semiHidden/>
    <w:rsid w:val="00DA0D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0E00-E3B1-48BF-BD86-F29AB076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2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2024-02-05T08:19:00Z</cp:lastPrinted>
  <dcterms:created xsi:type="dcterms:W3CDTF">2024-02-19T15:30:00Z</dcterms:created>
  <dcterms:modified xsi:type="dcterms:W3CDTF">2024-02-20T12:53:00Z</dcterms:modified>
</cp:coreProperties>
</file>