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6B7F" w14:textId="049FE4E4" w:rsidR="008E54B1" w:rsidRDefault="008E54B1" w:rsidP="008E54B1">
      <w:pPr>
        <w:pStyle w:val="Default"/>
        <w:jc w:val="center"/>
        <w:rPr>
          <w:sz w:val="26"/>
          <w:szCs w:val="26"/>
        </w:rPr>
      </w:pPr>
      <w:r>
        <w:rPr>
          <w:b/>
          <w:bCs/>
          <w:sz w:val="26"/>
          <w:szCs w:val="26"/>
        </w:rPr>
        <w:t>NODOMU PROTOKOLS</w:t>
      </w:r>
    </w:p>
    <w:p w14:paraId="6DC8D6DA" w14:textId="6EBBE880" w:rsidR="008E54B1" w:rsidRDefault="006D611C" w:rsidP="008E54B1">
      <w:pPr>
        <w:pStyle w:val="Default"/>
        <w:jc w:val="center"/>
        <w:rPr>
          <w:b/>
          <w:bCs/>
          <w:sz w:val="26"/>
          <w:szCs w:val="26"/>
        </w:rPr>
      </w:pPr>
      <w:r>
        <w:rPr>
          <w:b/>
          <w:bCs/>
          <w:sz w:val="26"/>
          <w:szCs w:val="26"/>
        </w:rPr>
        <w:t>Par</w:t>
      </w:r>
      <w:r w:rsidR="008A78A2">
        <w:rPr>
          <w:b/>
          <w:bCs/>
          <w:sz w:val="26"/>
          <w:szCs w:val="26"/>
        </w:rPr>
        <w:t xml:space="preserve"> dalību</w:t>
      </w:r>
      <w:r w:rsidR="0022508E">
        <w:rPr>
          <w:b/>
          <w:bCs/>
          <w:sz w:val="26"/>
          <w:szCs w:val="26"/>
        </w:rPr>
        <w:t xml:space="preserve"> </w:t>
      </w:r>
      <w:r w:rsidR="008A78A2" w:rsidRPr="008A78A2">
        <w:rPr>
          <w:b/>
          <w:bCs/>
          <w:sz w:val="26"/>
          <w:szCs w:val="26"/>
        </w:rPr>
        <w:t>“Pieejamu cenu īres dzīvokļu attīstības programm</w:t>
      </w:r>
      <w:r w:rsidR="00872809">
        <w:rPr>
          <w:b/>
          <w:bCs/>
          <w:sz w:val="26"/>
          <w:szCs w:val="26"/>
        </w:rPr>
        <w:t>ā</w:t>
      </w:r>
      <w:r w:rsidR="008A78A2" w:rsidRPr="008A78A2">
        <w:rPr>
          <w:b/>
          <w:bCs/>
          <w:sz w:val="26"/>
          <w:szCs w:val="26"/>
        </w:rPr>
        <w:t>”</w:t>
      </w:r>
    </w:p>
    <w:p w14:paraId="48CF5688" w14:textId="77777777" w:rsidR="008E54B1" w:rsidRDefault="008E54B1" w:rsidP="008E54B1">
      <w:pPr>
        <w:pStyle w:val="Default"/>
        <w:jc w:val="center"/>
        <w:rPr>
          <w:sz w:val="26"/>
          <w:szCs w:val="26"/>
        </w:rPr>
      </w:pPr>
    </w:p>
    <w:p w14:paraId="63C36B62" w14:textId="37F8FD79" w:rsidR="008E54B1" w:rsidRDefault="00E2554B" w:rsidP="008E54B1">
      <w:pPr>
        <w:pStyle w:val="Default"/>
        <w:jc w:val="right"/>
        <w:rPr>
          <w:sz w:val="26"/>
          <w:szCs w:val="26"/>
        </w:rPr>
      </w:pPr>
      <w:r>
        <w:rPr>
          <w:sz w:val="26"/>
          <w:szCs w:val="26"/>
        </w:rPr>
        <w:t>2024. gada __ . ____________</w:t>
      </w:r>
    </w:p>
    <w:p w14:paraId="72D9B763" w14:textId="2ACD80B7" w:rsidR="008E54B1" w:rsidRDefault="008E54B1" w:rsidP="008E54B1">
      <w:pPr>
        <w:pStyle w:val="Default"/>
        <w:rPr>
          <w:sz w:val="26"/>
          <w:szCs w:val="26"/>
        </w:rPr>
      </w:pPr>
      <w:r>
        <w:rPr>
          <w:sz w:val="26"/>
          <w:szCs w:val="26"/>
        </w:rPr>
        <w:t>Rīgā</w:t>
      </w:r>
    </w:p>
    <w:p w14:paraId="4A72CBBC" w14:textId="77777777" w:rsidR="008E54B1" w:rsidRDefault="008E54B1" w:rsidP="008E54B1">
      <w:pPr>
        <w:pStyle w:val="Default"/>
        <w:rPr>
          <w:sz w:val="26"/>
          <w:szCs w:val="26"/>
        </w:rPr>
      </w:pPr>
    </w:p>
    <w:p w14:paraId="5AFB8B6E" w14:textId="22D4C2FA" w:rsidR="008E54B1" w:rsidRDefault="005A755E" w:rsidP="008E54B1">
      <w:pPr>
        <w:pStyle w:val="Default"/>
        <w:jc w:val="both"/>
        <w:rPr>
          <w:sz w:val="26"/>
          <w:szCs w:val="26"/>
        </w:rPr>
      </w:pPr>
      <w:r w:rsidRPr="005A755E">
        <w:rPr>
          <w:b/>
          <w:bCs/>
          <w:sz w:val="26"/>
          <w:szCs w:val="26"/>
        </w:rPr>
        <w:t>VAS “Valsts nekustamie īpašumi”</w:t>
      </w:r>
      <w:r w:rsidR="008E54B1">
        <w:rPr>
          <w:sz w:val="26"/>
          <w:szCs w:val="26"/>
        </w:rPr>
        <w:t>, reģistrācijas Nr.</w:t>
      </w:r>
      <w:r w:rsidRPr="005A755E">
        <w:t xml:space="preserve"> </w:t>
      </w:r>
      <w:r w:rsidRPr="005A755E">
        <w:rPr>
          <w:sz w:val="26"/>
          <w:szCs w:val="26"/>
        </w:rPr>
        <w:t>40003294758</w:t>
      </w:r>
      <w:r w:rsidR="008E54B1">
        <w:rPr>
          <w:sz w:val="26"/>
          <w:szCs w:val="26"/>
        </w:rPr>
        <w:t xml:space="preserve">, adrese: </w:t>
      </w:r>
      <w:r w:rsidRPr="005A755E">
        <w:rPr>
          <w:sz w:val="26"/>
          <w:szCs w:val="26"/>
        </w:rPr>
        <w:t xml:space="preserve">Talejas iela 1, Rīga, LV-1026 </w:t>
      </w:r>
      <w:r w:rsidR="008E54B1">
        <w:rPr>
          <w:sz w:val="26"/>
          <w:szCs w:val="26"/>
        </w:rPr>
        <w:t xml:space="preserve">(turpmāk – </w:t>
      </w:r>
      <w:r>
        <w:rPr>
          <w:sz w:val="26"/>
          <w:szCs w:val="26"/>
        </w:rPr>
        <w:t>VNĪ</w:t>
      </w:r>
      <w:r w:rsidR="008E54B1">
        <w:rPr>
          <w:sz w:val="26"/>
          <w:szCs w:val="26"/>
        </w:rPr>
        <w:t xml:space="preserve">), kuru, pamatojoties uz </w:t>
      </w:r>
      <w:r w:rsidRPr="005A755E">
        <w:rPr>
          <w:sz w:val="26"/>
          <w:szCs w:val="26"/>
        </w:rPr>
        <w:t>2022.gada 26.septembra pilnvaru Nr. PILNV/2022/92, pārstāv</w:t>
      </w:r>
      <w:r>
        <w:rPr>
          <w:sz w:val="26"/>
          <w:szCs w:val="26"/>
        </w:rPr>
        <w:t xml:space="preserve"> valdes priekšsēdētājs Renārs Griškevičs</w:t>
      </w:r>
      <w:r w:rsidR="008E54B1">
        <w:rPr>
          <w:sz w:val="26"/>
          <w:szCs w:val="26"/>
        </w:rPr>
        <w:t xml:space="preserve">, no vienas puses, </w:t>
      </w:r>
      <w:r>
        <w:rPr>
          <w:sz w:val="26"/>
          <w:szCs w:val="26"/>
        </w:rPr>
        <w:t xml:space="preserve">un </w:t>
      </w:r>
    </w:p>
    <w:p w14:paraId="7F20EC53" w14:textId="2489A6E1" w:rsidR="008E54B1" w:rsidRDefault="005A755E" w:rsidP="008E54B1">
      <w:pPr>
        <w:pStyle w:val="Default"/>
        <w:jc w:val="both"/>
        <w:rPr>
          <w:sz w:val="26"/>
          <w:szCs w:val="26"/>
        </w:rPr>
      </w:pPr>
      <w:r>
        <w:rPr>
          <w:b/>
          <w:bCs/>
          <w:sz w:val="26"/>
          <w:szCs w:val="26"/>
        </w:rPr>
        <w:t>_____________________________</w:t>
      </w:r>
      <w:r w:rsidR="008E54B1">
        <w:rPr>
          <w:b/>
          <w:bCs/>
          <w:sz w:val="26"/>
          <w:szCs w:val="26"/>
        </w:rPr>
        <w:t xml:space="preserve"> pašvaldība</w:t>
      </w:r>
      <w:r>
        <w:rPr>
          <w:b/>
          <w:bCs/>
          <w:sz w:val="26"/>
          <w:szCs w:val="26"/>
        </w:rPr>
        <w:t>/dome</w:t>
      </w:r>
      <w:r w:rsidR="008E54B1">
        <w:rPr>
          <w:sz w:val="26"/>
          <w:szCs w:val="26"/>
        </w:rPr>
        <w:t>, reģistrācijas Nr.</w:t>
      </w:r>
      <w:r>
        <w:rPr>
          <w:sz w:val="26"/>
          <w:szCs w:val="26"/>
        </w:rPr>
        <w:t>_____________________</w:t>
      </w:r>
      <w:r w:rsidR="008E54B1">
        <w:rPr>
          <w:sz w:val="26"/>
          <w:szCs w:val="26"/>
        </w:rPr>
        <w:t xml:space="preserve">, adrese: </w:t>
      </w:r>
      <w:r w:rsidR="006D611C">
        <w:rPr>
          <w:sz w:val="26"/>
          <w:szCs w:val="26"/>
        </w:rPr>
        <w:t>__________________________________</w:t>
      </w:r>
      <w:r w:rsidR="008E54B1">
        <w:rPr>
          <w:sz w:val="26"/>
          <w:szCs w:val="26"/>
        </w:rPr>
        <w:t xml:space="preserve"> (turpmāk – Pašvaldība), kuru, pamatojoties uz </w:t>
      </w:r>
      <w:r w:rsidR="006D611C">
        <w:rPr>
          <w:sz w:val="26"/>
          <w:szCs w:val="26"/>
        </w:rPr>
        <w:t>_______________________________________________________</w:t>
      </w:r>
      <w:r w:rsidR="008E54B1">
        <w:rPr>
          <w:sz w:val="26"/>
          <w:szCs w:val="26"/>
        </w:rPr>
        <w:t xml:space="preserve">, pārstāv </w:t>
      </w:r>
      <w:r w:rsidR="006D611C" w:rsidRPr="006D611C">
        <w:rPr>
          <w:sz w:val="26"/>
          <w:szCs w:val="26"/>
          <w:u w:val="single"/>
        </w:rPr>
        <w:t>___________________________________________</w:t>
      </w:r>
      <w:r w:rsidR="008E54B1" w:rsidRPr="006D611C">
        <w:rPr>
          <w:sz w:val="26"/>
          <w:szCs w:val="26"/>
          <w:u w:val="single"/>
        </w:rPr>
        <w:t>,</w:t>
      </w:r>
      <w:r w:rsidR="008E54B1">
        <w:rPr>
          <w:sz w:val="26"/>
          <w:szCs w:val="26"/>
        </w:rPr>
        <w:t xml:space="preserve"> no otras puses, </w:t>
      </w:r>
    </w:p>
    <w:p w14:paraId="04437004" w14:textId="77777777" w:rsidR="008E54B1" w:rsidRDefault="008E54B1" w:rsidP="008E54B1">
      <w:pPr>
        <w:pStyle w:val="Default"/>
        <w:jc w:val="both"/>
        <w:rPr>
          <w:sz w:val="26"/>
          <w:szCs w:val="26"/>
        </w:rPr>
      </w:pPr>
    </w:p>
    <w:p w14:paraId="6C07DC7F" w14:textId="77777777" w:rsidR="008E54B1" w:rsidRDefault="008E54B1" w:rsidP="008E54B1">
      <w:pPr>
        <w:pStyle w:val="Default"/>
        <w:jc w:val="both"/>
        <w:rPr>
          <w:sz w:val="26"/>
          <w:szCs w:val="26"/>
        </w:rPr>
      </w:pPr>
      <w:r>
        <w:rPr>
          <w:sz w:val="26"/>
          <w:szCs w:val="26"/>
        </w:rPr>
        <w:t xml:space="preserve">turpmāk kopā saukti Puses, bet katrs atsevišķi – Puse, </w:t>
      </w:r>
    </w:p>
    <w:p w14:paraId="2823DF83" w14:textId="77777777" w:rsidR="008E54B1" w:rsidRDefault="008E54B1" w:rsidP="008E54B1">
      <w:pPr>
        <w:pStyle w:val="Default"/>
        <w:jc w:val="both"/>
        <w:rPr>
          <w:sz w:val="26"/>
          <w:szCs w:val="26"/>
        </w:rPr>
      </w:pPr>
    </w:p>
    <w:p w14:paraId="04A2EB47" w14:textId="77777777" w:rsidR="008E54B1" w:rsidRDefault="008E54B1" w:rsidP="008E54B1">
      <w:pPr>
        <w:pStyle w:val="Default"/>
        <w:jc w:val="both"/>
        <w:rPr>
          <w:sz w:val="26"/>
          <w:szCs w:val="26"/>
        </w:rPr>
      </w:pPr>
      <w:r>
        <w:rPr>
          <w:sz w:val="26"/>
          <w:szCs w:val="26"/>
        </w:rPr>
        <w:t xml:space="preserve">ņemot vērā: </w:t>
      </w:r>
    </w:p>
    <w:p w14:paraId="4BDE5841" w14:textId="77777777" w:rsidR="00FE23CF" w:rsidRDefault="00FE23CF" w:rsidP="008E54B1">
      <w:pPr>
        <w:pStyle w:val="Default"/>
        <w:jc w:val="both"/>
        <w:rPr>
          <w:sz w:val="26"/>
          <w:szCs w:val="26"/>
        </w:rPr>
      </w:pPr>
    </w:p>
    <w:p w14:paraId="7928AF13" w14:textId="7F1F2657" w:rsidR="008E54B1" w:rsidRDefault="008E54B1" w:rsidP="00E62837">
      <w:pPr>
        <w:pStyle w:val="Default"/>
        <w:numPr>
          <w:ilvl w:val="0"/>
          <w:numId w:val="1"/>
        </w:numPr>
        <w:spacing w:after="120"/>
        <w:jc w:val="both"/>
        <w:rPr>
          <w:sz w:val="26"/>
          <w:szCs w:val="26"/>
        </w:rPr>
      </w:pPr>
      <w:r w:rsidRPr="006D611C">
        <w:rPr>
          <w:sz w:val="26"/>
          <w:szCs w:val="26"/>
        </w:rPr>
        <w:t>a)</w:t>
      </w:r>
      <w:r w:rsidR="00691AE2" w:rsidRPr="00691AE2">
        <w:t xml:space="preserve"> </w:t>
      </w:r>
      <w:r w:rsidR="00691AE2" w:rsidRPr="00691AE2">
        <w:rPr>
          <w:sz w:val="26"/>
          <w:szCs w:val="26"/>
        </w:rPr>
        <w:t>Ministru kabineta 2023. gada 8. novembra rīkojum</w:t>
      </w:r>
      <w:r w:rsidR="00691AE2">
        <w:rPr>
          <w:sz w:val="26"/>
          <w:szCs w:val="26"/>
        </w:rPr>
        <w:t>u</w:t>
      </w:r>
      <w:r w:rsidR="00691AE2" w:rsidRPr="00691AE2">
        <w:rPr>
          <w:sz w:val="26"/>
          <w:szCs w:val="26"/>
        </w:rPr>
        <w:t xml:space="preserve"> Nr. 739 “</w:t>
      </w:r>
      <w:hyperlink r:id="rId9" w:history="1">
        <w:r w:rsidR="00691AE2" w:rsidRPr="00954688">
          <w:rPr>
            <w:rStyle w:val="Hyperlink"/>
            <w:sz w:val="26"/>
            <w:szCs w:val="26"/>
          </w:rPr>
          <w:t>Par Mājokļu pieejamības pamatnostādnēm 2023.–2027. gadam</w:t>
        </w:r>
      </w:hyperlink>
      <w:r w:rsidR="00691AE2" w:rsidRPr="00691AE2">
        <w:rPr>
          <w:sz w:val="26"/>
          <w:szCs w:val="26"/>
        </w:rPr>
        <w:t>”</w:t>
      </w:r>
      <w:r w:rsidR="00691AE2">
        <w:rPr>
          <w:sz w:val="26"/>
          <w:szCs w:val="26"/>
        </w:rPr>
        <w:t>;</w:t>
      </w:r>
    </w:p>
    <w:p w14:paraId="17EF06F7" w14:textId="232CF572" w:rsidR="00691AE2" w:rsidRDefault="00691AE2" w:rsidP="00E62837">
      <w:pPr>
        <w:pStyle w:val="Default"/>
        <w:numPr>
          <w:ilvl w:val="0"/>
          <w:numId w:val="1"/>
        </w:numPr>
        <w:spacing w:after="120"/>
        <w:jc w:val="both"/>
        <w:rPr>
          <w:sz w:val="26"/>
          <w:szCs w:val="26"/>
        </w:rPr>
      </w:pPr>
      <w:r>
        <w:rPr>
          <w:sz w:val="26"/>
          <w:szCs w:val="26"/>
        </w:rPr>
        <w:t>b)</w:t>
      </w:r>
      <w:r w:rsidRPr="00691AE2">
        <w:rPr>
          <w:sz w:val="26"/>
          <w:szCs w:val="26"/>
        </w:rPr>
        <w:t xml:space="preserve"> </w:t>
      </w:r>
      <w:r w:rsidR="00C62AA1">
        <w:rPr>
          <w:sz w:val="26"/>
          <w:szCs w:val="26"/>
        </w:rPr>
        <w:t xml:space="preserve">Finanšu ministrijas </w:t>
      </w:r>
      <w:r w:rsidR="00CC23D7">
        <w:rPr>
          <w:sz w:val="26"/>
          <w:szCs w:val="26"/>
        </w:rPr>
        <w:t xml:space="preserve">sagatavoto </w:t>
      </w:r>
      <w:r w:rsidR="00C62AA1">
        <w:rPr>
          <w:sz w:val="26"/>
          <w:szCs w:val="26"/>
        </w:rPr>
        <w:t>i</w:t>
      </w:r>
      <w:r w:rsidRPr="006D611C">
        <w:rPr>
          <w:sz w:val="26"/>
          <w:szCs w:val="26"/>
        </w:rPr>
        <w:t>nformatīvo ziņojumu</w:t>
      </w:r>
      <w:r>
        <w:rPr>
          <w:sz w:val="26"/>
          <w:szCs w:val="26"/>
        </w:rPr>
        <w:t xml:space="preserve"> </w:t>
      </w:r>
      <w:r w:rsidRPr="006D611C">
        <w:rPr>
          <w:sz w:val="26"/>
          <w:szCs w:val="26"/>
        </w:rPr>
        <w:t>“</w:t>
      </w:r>
      <w:hyperlink r:id="rId10" w:history="1">
        <w:r w:rsidRPr="00416CF7">
          <w:rPr>
            <w:rStyle w:val="Hyperlink"/>
            <w:sz w:val="26"/>
            <w:szCs w:val="26"/>
          </w:rPr>
          <w:t>Par pieejamu cenu īres dzīvokļu attīstības programmu</w:t>
        </w:r>
      </w:hyperlink>
      <w:r w:rsidRPr="006D611C">
        <w:rPr>
          <w:sz w:val="26"/>
          <w:szCs w:val="26"/>
        </w:rPr>
        <w:t>”</w:t>
      </w:r>
      <w:r w:rsidR="002E008C">
        <w:rPr>
          <w:sz w:val="26"/>
          <w:szCs w:val="26"/>
        </w:rPr>
        <w:t>,</w:t>
      </w:r>
      <w:r w:rsidR="002E008C" w:rsidRPr="002E008C">
        <w:rPr>
          <w:sz w:val="26"/>
          <w:szCs w:val="26"/>
        </w:rPr>
        <w:t xml:space="preserve"> </w:t>
      </w:r>
      <w:r w:rsidR="002E008C">
        <w:rPr>
          <w:sz w:val="26"/>
          <w:szCs w:val="26"/>
        </w:rPr>
        <w:t xml:space="preserve">izskatīts Ministru kabineta </w:t>
      </w:r>
      <w:r w:rsidR="002E008C" w:rsidRPr="00A75D7B">
        <w:rPr>
          <w:sz w:val="26"/>
          <w:szCs w:val="26"/>
        </w:rPr>
        <w:t>2024.</w:t>
      </w:r>
      <w:r w:rsidR="002E008C">
        <w:rPr>
          <w:sz w:val="26"/>
          <w:szCs w:val="26"/>
        </w:rPr>
        <w:t>gada 11.jūnija</w:t>
      </w:r>
      <w:r w:rsidR="002E008C" w:rsidRPr="00A75D7B">
        <w:rPr>
          <w:sz w:val="26"/>
          <w:szCs w:val="26"/>
        </w:rPr>
        <w:t xml:space="preserve"> sēd</w:t>
      </w:r>
      <w:r w:rsidR="002E008C">
        <w:rPr>
          <w:sz w:val="26"/>
          <w:szCs w:val="26"/>
        </w:rPr>
        <w:t>ē prot.</w:t>
      </w:r>
      <w:r w:rsidR="002E008C" w:rsidRPr="004F71BE">
        <w:rPr>
          <w:color w:val="auto"/>
          <w:sz w:val="26"/>
          <w:szCs w:val="26"/>
        </w:rPr>
        <w:t xml:space="preserve"> </w:t>
      </w:r>
      <w:hyperlink r:id="rId11" w:anchor="meeting-protocol-preview-65" w:history="1">
        <w:r w:rsidR="002E008C" w:rsidRPr="004D4B7F">
          <w:rPr>
            <w:rStyle w:val="Hyperlink"/>
            <w:sz w:val="26"/>
            <w:szCs w:val="26"/>
          </w:rPr>
          <w:t>Nr.24 65.§</w:t>
        </w:r>
      </w:hyperlink>
      <w:r w:rsidR="003B567F">
        <w:rPr>
          <w:sz w:val="26"/>
          <w:szCs w:val="26"/>
        </w:rPr>
        <w:t xml:space="preserve"> (turpmāk – Informatīvais ziņojums)</w:t>
      </w:r>
      <w:r>
        <w:rPr>
          <w:sz w:val="26"/>
          <w:szCs w:val="26"/>
        </w:rPr>
        <w:t>;</w:t>
      </w:r>
    </w:p>
    <w:p w14:paraId="02854ED5" w14:textId="0DD9ED38" w:rsidR="00C77E98" w:rsidRDefault="008E54B1" w:rsidP="00E62837">
      <w:pPr>
        <w:pStyle w:val="Default"/>
        <w:numPr>
          <w:ilvl w:val="0"/>
          <w:numId w:val="2"/>
        </w:numPr>
        <w:spacing w:after="120"/>
        <w:jc w:val="both"/>
        <w:rPr>
          <w:color w:val="auto"/>
          <w:sz w:val="26"/>
          <w:szCs w:val="26"/>
        </w:rPr>
      </w:pPr>
      <w:r>
        <w:rPr>
          <w:color w:val="auto"/>
          <w:sz w:val="26"/>
          <w:szCs w:val="26"/>
        </w:rPr>
        <w:t xml:space="preserve">c) Ministru kabineta </w:t>
      </w:r>
      <w:r w:rsidR="00783457" w:rsidRPr="00783457">
        <w:rPr>
          <w:color w:val="auto"/>
          <w:sz w:val="26"/>
          <w:szCs w:val="26"/>
        </w:rPr>
        <w:t xml:space="preserve">2024.gada 11.jūnija sēdes </w:t>
      </w:r>
      <w:proofErr w:type="spellStart"/>
      <w:r w:rsidR="00783457" w:rsidRPr="00783457">
        <w:rPr>
          <w:color w:val="auto"/>
          <w:sz w:val="26"/>
          <w:szCs w:val="26"/>
        </w:rPr>
        <w:t>protokollēmum</w:t>
      </w:r>
      <w:r w:rsidR="00783457">
        <w:rPr>
          <w:color w:val="auto"/>
          <w:sz w:val="26"/>
          <w:szCs w:val="26"/>
        </w:rPr>
        <w:t>u</w:t>
      </w:r>
      <w:proofErr w:type="spellEnd"/>
      <w:r w:rsidR="00783457" w:rsidRPr="00783457">
        <w:rPr>
          <w:color w:val="auto"/>
          <w:sz w:val="26"/>
          <w:szCs w:val="26"/>
        </w:rPr>
        <w:t xml:space="preserve"> (prot. </w:t>
      </w:r>
      <w:hyperlink r:id="rId12" w:anchor="meeting-protocol-preview-65" w:history="1">
        <w:r w:rsidR="00783457" w:rsidRPr="00BD77F7">
          <w:rPr>
            <w:rStyle w:val="Hyperlink"/>
            <w:sz w:val="26"/>
            <w:szCs w:val="26"/>
          </w:rPr>
          <w:t>Nr.24 65.§</w:t>
        </w:r>
      </w:hyperlink>
      <w:r w:rsidR="00783457" w:rsidRPr="00783457">
        <w:rPr>
          <w:color w:val="auto"/>
          <w:sz w:val="26"/>
          <w:szCs w:val="26"/>
        </w:rPr>
        <w:t xml:space="preserve">) „Informatīvais ziņojums </w:t>
      </w:r>
      <w:r w:rsidR="00DD0313">
        <w:rPr>
          <w:color w:val="auto"/>
          <w:sz w:val="26"/>
          <w:szCs w:val="26"/>
        </w:rPr>
        <w:t>“</w:t>
      </w:r>
      <w:r w:rsidR="00783457" w:rsidRPr="00783457">
        <w:rPr>
          <w:color w:val="auto"/>
          <w:sz w:val="26"/>
          <w:szCs w:val="26"/>
        </w:rPr>
        <w:t>Par pieejamu cenu īres dzīvokļu attīstības programmu”</w:t>
      </w:r>
      <w:r w:rsidR="006017DD">
        <w:rPr>
          <w:color w:val="auto"/>
          <w:sz w:val="26"/>
          <w:szCs w:val="26"/>
        </w:rPr>
        <w:t xml:space="preserve"> (turpmāk – </w:t>
      </w:r>
      <w:proofErr w:type="spellStart"/>
      <w:r w:rsidR="006017DD">
        <w:rPr>
          <w:color w:val="auto"/>
          <w:sz w:val="26"/>
          <w:szCs w:val="26"/>
        </w:rPr>
        <w:t>Protokollēmums</w:t>
      </w:r>
      <w:proofErr w:type="spellEnd"/>
      <w:r w:rsidR="006017DD">
        <w:rPr>
          <w:color w:val="auto"/>
          <w:sz w:val="26"/>
          <w:szCs w:val="26"/>
        </w:rPr>
        <w:t>)</w:t>
      </w:r>
      <w:r w:rsidR="00FF5CBA">
        <w:rPr>
          <w:color w:val="auto"/>
          <w:sz w:val="26"/>
          <w:szCs w:val="26"/>
        </w:rPr>
        <w:t xml:space="preserve">, un jo īpaši </w:t>
      </w:r>
      <w:r w:rsidR="00CD53BA">
        <w:rPr>
          <w:color w:val="auto"/>
          <w:sz w:val="26"/>
          <w:szCs w:val="26"/>
        </w:rPr>
        <w:t>tā</w:t>
      </w:r>
      <w:r w:rsidR="00FF5CBA">
        <w:rPr>
          <w:color w:val="auto"/>
          <w:sz w:val="26"/>
          <w:szCs w:val="26"/>
        </w:rPr>
        <w:t xml:space="preserve"> 4.punktu, saskaņā ar kuru </w:t>
      </w:r>
      <w:r w:rsidR="00B60614">
        <w:rPr>
          <w:color w:val="auto"/>
          <w:sz w:val="26"/>
          <w:szCs w:val="26"/>
        </w:rPr>
        <w:t xml:space="preserve">VNĪ ir uzdots nodrošināt </w:t>
      </w:r>
      <w:r w:rsidR="008D7E6C">
        <w:rPr>
          <w:color w:val="auto"/>
          <w:sz w:val="26"/>
          <w:szCs w:val="26"/>
        </w:rPr>
        <w:t xml:space="preserve">projekta finanšu un </w:t>
      </w:r>
      <w:r w:rsidR="00E55211">
        <w:rPr>
          <w:color w:val="auto"/>
          <w:sz w:val="26"/>
          <w:szCs w:val="26"/>
        </w:rPr>
        <w:t>ekonomisko aprēķinu izstrādi un kompetento institūciju</w:t>
      </w:r>
      <w:r w:rsidR="0060320A">
        <w:rPr>
          <w:color w:val="auto"/>
          <w:sz w:val="26"/>
          <w:szCs w:val="26"/>
        </w:rPr>
        <w:t xml:space="preserve"> atzinumu saņemšanu, pieņemot, ka vadošais publiskā partnera pārstāvis būs </w:t>
      </w:r>
      <w:r w:rsidR="00AD05EE">
        <w:rPr>
          <w:color w:val="auto"/>
          <w:sz w:val="26"/>
          <w:szCs w:val="26"/>
        </w:rPr>
        <w:t>VNĪ un projekts tiks īstenots kopā ar citiem publiskajiem partneriem</w:t>
      </w:r>
      <w:r w:rsidR="001E7AD6">
        <w:rPr>
          <w:color w:val="auto"/>
          <w:sz w:val="26"/>
          <w:szCs w:val="26"/>
        </w:rPr>
        <w:t xml:space="preserve"> – pašvaldībām, pamatojoties uz </w:t>
      </w:r>
      <w:r w:rsidR="00E83DAC">
        <w:rPr>
          <w:color w:val="auto"/>
          <w:sz w:val="26"/>
          <w:szCs w:val="26"/>
        </w:rPr>
        <w:t>attiecīgo pašvaldību domju pieņemtajiem lēmumiem par dalību projektā</w:t>
      </w:r>
      <w:r w:rsidR="00461FC4">
        <w:rPr>
          <w:color w:val="auto"/>
          <w:sz w:val="26"/>
          <w:szCs w:val="26"/>
        </w:rPr>
        <w:t>, noslēdzot nodomu protokolu</w:t>
      </w:r>
      <w:r w:rsidR="00D831C7">
        <w:rPr>
          <w:color w:val="auto"/>
          <w:sz w:val="26"/>
          <w:szCs w:val="26"/>
        </w:rPr>
        <w:t xml:space="preserve"> pirms finanšu un ekonomisko aprēķinu izstrādes</w:t>
      </w:r>
      <w:r w:rsidR="0035401F">
        <w:rPr>
          <w:color w:val="auto"/>
          <w:sz w:val="26"/>
          <w:szCs w:val="26"/>
        </w:rPr>
        <w:t>. Pašvaldības kā publiskie partneri</w:t>
      </w:r>
      <w:r w:rsidR="00E60C8D">
        <w:rPr>
          <w:color w:val="auto"/>
          <w:sz w:val="26"/>
          <w:szCs w:val="26"/>
        </w:rPr>
        <w:t xml:space="preserve"> pievienosies VNĪ sagatavotajam partnerības iepirkuma līgumam</w:t>
      </w:r>
      <w:r w:rsidR="00025D7D">
        <w:rPr>
          <w:color w:val="auto"/>
          <w:sz w:val="26"/>
          <w:szCs w:val="26"/>
        </w:rPr>
        <w:t>, nodos augstas gatavības projekta īstenošanas zemi lietošanā un apsaimniekošanā privātajam partnerim</w:t>
      </w:r>
      <w:r w:rsidR="00057D51">
        <w:rPr>
          <w:color w:val="auto"/>
          <w:sz w:val="26"/>
          <w:szCs w:val="26"/>
        </w:rPr>
        <w:t xml:space="preserve">, uzņemsies projekta pieejamības risku (veiks </w:t>
      </w:r>
      <w:r w:rsidR="00197417">
        <w:rPr>
          <w:color w:val="auto"/>
          <w:sz w:val="26"/>
          <w:szCs w:val="26"/>
        </w:rPr>
        <w:t xml:space="preserve">īrnieku atlasi un līdzfinansēs īres maksas, ievērojot iedzīvotāju maksātspēju un </w:t>
      </w:r>
      <w:r w:rsidR="00FB2FD6">
        <w:rPr>
          <w:color w:val="auto"/>
          <w:sz w:val="26"/>
          <w:szCs w:val="26"/>
        </w:rPr>
        <w:t xml:space="preserve">tirgus nepilnības apmēru), izstrādās vispārējas tautsaimnieciskas nozīmes pakalpojuma kritērijus </w:t>
      </w:r>
      <w:r w:rsidR="00F70B4D">
        <w:rPr>
          <w:color w:val="auto"/>
          <w:sz w:val="26"/>
          <w:szCs w:val="26"/>
        </w:rPr>
        <w:t>projekta īstenošanai savā administratīvajā teritorijā, pieejamības periodā maksās</w:t>
      </w:r>
      <w:r w:rsidR="0054728D">
        <w:rPr>
          <w:color w:val="auto"/>
          <w:sz w:val="26"/>
          <w:szCs w:val="26"/>
        </w:rPr>
        <w:t xml:space="preserve"> pieejamības maksājumu privātajam partnerim tieši vai ar VNĪ iesaisti</w:t>
      </w:r>
      <w:r w:rsidR="00CE6B75">
        <w:rPr>
          <w:color w:val="auto"/>
          <w:sz w:val="26"/>
          <w:szCs w:val="26"/>
        </w:rPr>
        <w:t xml:space="preserve"> (saskaņā ar finanšu un ekonomiskajos aprēķinos rekomendēto darījuma struktūru)</w:t>
      </w:r>
      <w:r w:rsidR="00C77E98">
        <w:rPr>
          <w:color w:val="auto"/>
          <w:sz w:val="26"/>
          <w:szCs w:val="26"/>
        </w:rPr>
        <w:t>;</w:t>
      </w:r>
    </w:p>
    <w:p w14:paraId="64FD2499" w14:textId="77777777" w:rsidR="00FE23CF" w:rsidRDefault="00FE23CF" w:rsidP="008E54B1">
      <w:pPr>
        <w:pStyle w:val="Default"/>
        <w:numPr>
          <w:ilvl w:val="0"/>
          <w:numId w:val="2"/>
        </w:numPr>
        <w:jc w:val="both"/>
        <w:rPr>
          <w:color w:val="auto"/>
          <w:sz w:val="26"/>
          <w:szCs w:val="26"/>
        </w:rPr>
      </w:pPr>
    </w:p>
    <w:p w14:paraId="7F5BE08E" w14:textId="2C13E4EC" w:rsidR="008E54B1" w:rsidRDefault="00C77E98" w:rsidP="00E62837">
      <w:pPr>
        <w:pStyle w:val="Default"/>
        <w:numPr>
          <w:ilvl w:val="0"/>
          <w:numId w:val="2"/>
        </w:numPr>
        <w:spacing w:after="120"/>
        <w:jc w:val="both"/>
        <w:rPr>
          <w:color w:val="auto"/>
          <w:sz w:val="26"/>
          <w:szCs w:val="26"/>
        </w:rPr>
      </w:pPr>
      <w:r>
        <w:rPr>
          <w:color w:val="auto"/>
          <w:sz w:val="26"/>
          <w:szCs w:val="26"/>
        </w:rPr>
        <w:t xml:space="preserve">d) </w:t>
      </w:r>
      <w:r w:rsidRPr="00C77E98">
        <w:rPr>
          <w:color w:val="auto"/>
          <w:sz w:val="26"/>
          <w:szCs w:val="26"/>
        </w:rPr>
        <w:t>Publiskās un privātās partnerības likum</w:t>
      </w:r>
      <w:r>
        <w:rPr>
          <w:color w:val="auto"/>
          <w:sz w:val="26"/>
          <w:szCs w:val="26"/>
        </w:rPr>
        <w:t xml:space="preserve">a </w:t>
      </w:r>
      <w:hyperlink r:id="rId13" w:anchor="p6" w:history="1">
        <w:r w:rsidRPr="00CC4C71">
          <w:rPr>
            <w:rStyle w:val="Hyperlink"/>
            <w:sz w:val="26"/>
            <w:szCs w:val="26"/>
          </w:rPr>
          <w:t>6</w:t>
        </w:r>
      </w:hyperlink>
      <w:r>
        <w:rPr>
          <w:color w:val="auto"/>
          <w:sz w:val="26"/>
          <w:szCs w:val="26"/>
        </w:rPr>
        <w:t xml:space="preserve">. un </w:t>
      </w:r>
      <w:hyperlink r:id="rId14" w:anchor="p14" w:history="1">
        <w:r w:rsidRPr="00CC4C71">
          <w:rPr>
            <w:rStyle w:val="Hyperlink"/>
            <w:sz w:val="26"/>
            <w:szCs w:val="26"/>
          </w:rPr>
          <w:t>14</w:t>
        </w:r>
      </w:hyperlink>
      <w:r>
        <w:rPr>
          <w:color w:val="auto"/>
          <w:sz w:val="26"/>
          <w:szCs w:val="26"/>
        </w:rPr>
        <w:t>. pantu</w:t>
      </w:r>
      <w:r w:rsidR="006017DD">
        <w:rPr>
          <w:color w:val="auto"/>
          <w:sz w:val="26"/>
          <w:szCs w:val="26"/>
        </w:rPr>
        <w:t xml:space="preserve"> regulējumu</w:t>
      </w:r>
      <w:r w:rsidR="004C7956">
        <w:rPr>
          <w:color w:val="auto"/>
          <w:sz w:val="26"/>
          <w:szCs w:val="26"/>
        </w:rPr>
        <w:t>;</w:t>
      </w:r>
    </w:p>
    <w:p w14:paraId="7A990DBE" w14:textId="6A043174" w:rsidR="004C7956" w:rsidRDefault="004C7956" w:rsidP="00E62837">
      <w:pPr>
        <w:pStyle w:val="Default"/>
        <w:numPr>
          <w:ilvl w:val="0"/>
          <w:numId w:val="2"/>
        </w:numPr>
        <w:spacing w:after="120"/>
        <w:jc w:val="both"/>
        <w:rPr>
          <w:color w:val="auto"/>
          <w:sz w:val="26"/>
          <w:szCs w:val="26"/>
        </w:rPr>
      </w:pPr>
      <w:r>
        <w:rPr>
          <w:color w:val="auto"/>
          <w:sz w:val="26"/>
          <w:szCs w:val="26"/>
        </w:rPr>
        <w:t xml:space="preserve">e) </w:t>
      </w:r>
      <w:r w:rsidR="00E42D28">
        <w:rPr>
          <w:color w:val="auto"/>
          <w:sz w:val="26"/>
          <w:szCs w:val="26"/>
        </w:rPr>
        <w:t xml:space="preserve">ka </w:t>
      </w:r>
      <w:r>
        <w:rPr>
          <w:color w:val="auto"/>
          <w:sz w:val="26"/>
          <w:szCs w:val="26"/>
        </w:rPr>
        <w:t>Pašvaldība</w:t>
      </w:r>
      <w:r w:rsidR="00D44849">
        <w:rPr>
          <w:color w:val="auto"/>
          <w:sz w:val="26"/>
          <w:szCs w:val="26"/>
        </w:rPr>
        <w:t>s dome</w:t>
      </w:r>
      <w:r>
        <w:rPr>
          <w:color w:val="auto"/>
          <w:sz w:val="26"/>
          <w:szCs w:val="26"/>
        </w:rPr>
        <w:t xml:space="preserve"> ir pieņēmusi </w:t>
      </w:r>
      <w:r w:rsidR="004B49B7">
        <w:rPr>
          <w:color w:val="auto"/>
          <w:sz w:val="26"/>
          <w:szCs w:val="26"/>
        </w:rPr>
        <w:t>2024.gada _________ lēmumu Nr._________ par konceptuālu dalību programmā</w:t>
      </w:r>
      <w:r w:rsidR="00813422">
        <w:rPr>
          <w:color w:val="auto"/>
          <w:sz w:val="26"/>
          <w:szCs w:val="26"/>
        </w:rPr>
        <w:t xml:space="preserve"> (turpmāk – Pašvaldības lēmums)</w:t>
      </w:r>
      <w:r w:rsidR="00D44849">
        <w:rPr>
          <w:color w:val="auto"/>
          <w:sz w:val="26"/>
          <w:szCs w:val="26"/>
        </w:rPr>
        <w:t>. Pašvaldības lēmums tiek pievienots Nodomu protokolam (1.pielikums)</w:t>
      </w:r>
      <w:r w:rsidR="00CB1747">
        <w:rPr>
          <w:color w:val="auto"/>
          <w:sz w:val="26"/>
          <w:szCs w:val="26"/>
        </w:rPr>
        <w:t>,</w:t>
      </w:r>
    </w:p>
    <w:p w14:paraId="3251C4EC" w14:textId="05FC63C9" w:rsidR="00E61708" w:rsidRPr="00E61708" w:rsidRDefault="00E61708" w:rsidP="00E61708">
      <w:pPr>
        <w:tabs>
          <w:tab w:val="left" w:pos="910"/>
        </w:tabs>
      </w:pPr>
      <w:r>
        <w:tab/>
      </w:r>
    </w:p>
    <w:p w14:paraId="02C2B009" w14:textId="77777777" w:rsidR="008E54B1" w:rsidRDefault="008E54B1" w:rsidP="008E54B1">
      <w:pPr>
        <w:pStyle w:val="Default"/>
        <w:jc w:val="both"/>
        <w:rPr>
          <w:color w:val="auto"/>
          <w:sz w:val="26"/>
          <w:szCs w:val="26"/>
        </w:rPr>
      </w:pPr>
    </w:p>
    <w:p w14:paraId="01E7F3E8" w14:textId="3FE4B7CD" w:rsidR="008E54B1" w:rsidRDefault="008E54B1" w:rsidP="008E54B1">
      <w:pPr>
        <w:pStyle w:val="Default"/>
        <w:jc w:val="both"/>
        <w:rPr>
          <w:color w:val="auto"/>
          <w:sz w:val="26"/>
          <w:szCs w:val="26"/>
        </w:rPr>
      </w:pPr>
      <w:r>
        <w:rPr>
          <w:color w:val="auto"/>
          <w:sz w:val="26"/>
          <w:szCs w:val="26"/>
        </w:rPr>
        <w:t xml:space="preserve">noslēdz šādu nodomu protokolu </w:t>
      </w:r>
      <w:r w:rsidR="00B352DE">
        <w:rPr>
          <w:color w:val="auto"/>
          <w:sz w:val="26"/>
          <w:szCs w:val="26"/>
        </w:rPr>
        <w:t xml:space="preserve">(turpmāk – Nodomu protokols) </w:t>
      </w:r>
      <w:r>
        <w:rPr>
          <w:color w:val="auto"/>
          <w:sz w:val="26"/>
          <w:szCs w:val="26"/>
        </w:rPr>
        <w:t xml:space="preserve">par </w:t>
      </w:r>
      <w:r w:rsidR="00B352DE">
        <w:rPr>
          <w:color w:val="auto"/>
          <w:sz w:val="26"/>
          <w:szCs w:val="26"/>
        </w:rPr>
        <w:t xml:space="preserve">Pašvaldības </w:t>
      </w:r>
      <w:r w:rsidR="008030B2">
        <w:rPr>
          <w:color w:val="auto"/>
          <w:sz w:val="26"/>
          <w:szCs w:val="26"/>
        </w:rPr>
        <w:t xml:space="preserve">konceptuālu </w:t>
      </w:r>
      <w:r w:rsidR="00B352DE">
        <w:rPr>
          <w:color w:val="auto"/>
          <w:sz w:val="26"/>
          <w:szCs w:val="26"/>
        </w:rPr>
        <w:t xml:space="preserve">dalību </w:t>
      </w:r>
      <w:r w:rsidR="00B42C6B">
        <w:rPr>
          <w:color w:val="auto"/>
          <w:sz w:val="26"/>
          <w:szCs w:val="26"/>
        </w:rPr>
        <w:t>programmā</w:t>
      </w:r>
      <w:r w:rsidR="00B352DE">
        <w:rPr>
          <w:color w:val="auto"/>
          <w:sz w:val="26"/>
          <w:szCs w:val="26"/>
        </w:rPr>
        <w:t xml:space="preserve"> </w:t>
      </w:r>
      <w:r w:rsidR="00B352DE" w:rsidRPr="00B352DE">
        <w:rPr>
          <w:color w:val="auto"/>
          <w:sz w:val="26"/>
          <w:szCs w:val="26"/>
        </w:rPr>
        <w:t>“Pieejamu cenu īres dzīvokļu attīstības programm</w:t>
      </w:r>
      <w:r w:rsidR="00B352DE">
        <w:rPr>
          <w:color w:val="auto"/>
          <w:sz w:val="26"/>
          <w:szCs w:val="26"/>
        </w:rPr>
        <w:t>a</w:t>
      </w:r>
      <w:r w:rsidR="00B352DE" w:rsidRPr="00B352DE">
        <w:rPr>
          <w:color w:val="auto"/>
          <w:sz w:val="26"/>
          <w:szCs w:val="26"/>
        </w:rPr>
        <w:t>”</w:t>
      </w:r>
      <w:r w:rsidR="00B352DE">
        <w:rPr>
          <w:color w:val="auto"/>
          <w:sz w:val="26"/>
          <w:szCs w:val="26"/>
        </w:rPr>
        <w:t xml:space="preserve"> (turpmāk – </w:t>
      </w:r>
      <w:r w:rsidR="00B42C6B">
        <w:rPr>
          <w:color w:val="auto"/>
          <w:sz w:val="26"/>
          <w:szCs w:val="26"/>
        </w:rPr>
        <w:t>Programma</w:t>
      </w:r>
      <w:r w:rsidR="00B352DE">
        <w:rPr>
          <w:color w:val="auto"/>
          <w:sz w:val="26"/>
          <w:szCs w:val="26"/>
        </w:rPr>
        <w:t>)</w:t>
      </w:r>
      <w:r>
        <w:rPr>
          <w:color w:val="auto"/>
          <w:sz w:val="26"/>
          <w:szCs w:val="26"/>
        </w:rPr>
        <w:t xml:space="preserve">: </w:t>
      </w:r>
    </w:p>
    <w:p w14:paraId="7EF34C7B" w14:textId="77777777" w:rsidR="00B352DE" w:rsidRDefault="00B352DE" w:rsidP="008E54B1">
      <w:pPr>
        <w:pStyle w:val="Default"/>
        <w:jc w:val="both"/>
        <w:rPr>
          <w:color w:val="auto"/>
          <w:sz w:val="26"/>
          <w:szCs w:val="26"/>
        </w:rPr>
      </w:pPr>
    </w:p>
    <w:p w14:paraId="3A84CC52" w14:textId="2FC40481" w:rsidR="008E54B1" w:rsidRDefault="008E54B1" w:rsidP="008E54B1">
      <w:pPr>
        <w:pStyle w:val="Default"/>
        <w:jc w:val="both"/>
        <w:rPr>
          <w:color w:val="auto"/>
          <w:sz w:val="26"/>
          <w:szCs w:val="26"/>
        </w:rPr>
      </w:pPr>
      <w:r>
        <w:rPr>
          <w:color w:val="auto"/>
          <w:sz w:val="26"/>
          <w:szCs w:val="26"/>
        </w:rPr>
        <w:t>1. Puses vienojas par kopīgu sadarbību</w:t>
      </w:r>
      <w:r w:rsidR="008F204B">
        <w:rPr>
          <w:color w:val="auto"/>
          <w:sz w:val="26"/>
          <w:szCs w:val="26"/>
        </w:rPr>
        <w:t xml:space="preserve"> Programmā</w:t>
      </w:r>
      <w:r w:rsidR="00E412EE">
        <w:rPr>
          <w:color w:val="auto"/>
          <w:sz w:val="26"/>
          <w:szCs w:val="26"/>
        </w:rPr>
        <w:t>,</w:t>
      </w:r>
      <w:r w:rsidR="00B42C6B">
        <w:rPr>
          <w:color w:val="auto"/>
          <w:sz w:val="26"/>
          <w:szCs w:val="26"/>
        </w:rPr>
        <w:t xml:space="preserve"> </w:t>
      </w:r>
      <w:r w:rsidR="00BB2C95">
        <w:rPr>
          <w:color w:val="auto"/>
          <w:sz w:val="26"/>
          <w:szCs w:val="26"/>
        </w:rPr>
        <w:t xml:space="preserve">kuru ir plānots </w:t>
      </w:r>
      <w:r w:rsidR="00680BF2">
        <w:rPr>
          <w:color w:val="auto"/>
          <w:sz w:val="26"/>
          <w:szCs w:val="26"/>
        </w:rPr>
        <w:t>īstenot</w:t>
      </w:r>
      <w:r w:rsidR="00BB2C95">
        <w:rPr>
          <w:color w:val="auto"/>
          <w:sz w:val="26"/>
          <w:szCs w:val="26"/>
        </w:rPr>
        <w:t xml:space="preserve"> atbilstoši </w:t>
      </w:r>
      <w:r w:rsidR="004D4FB7">
        <w:rPr>
          <w:color w:val="auto"/>
          <w:sz w:val="26"/>
          <w:szCs w:val="26"/>
        </w:rPr>
        <w:t>tiem konceptuālajiem risinājumiem</w:t>
      </w:r>
      <w:r w:rsidR="00BB2C95">
        <w:rPr>
          <w:color w:val="auto"/>
          <w:sz w:val="26"/>
          <w:szCs w:val="26"/>
        </w:rPr>
        <w:t xml:space="preserve">, </w:t>
      </w:r>
      <w:r w:rsidR="00BB2C95" w:rsidRPr="004D4FB7">
        <w:rPr>
          <w:color w:val="auto"/>
          <w:sz w:val="26"/>
          <w:szCs w:val="26"/>
        </w:rPr>
        <w:t>kā</w:t>
      </w:r>
      <w:r w:rsidR="00680BF2">
        <w:rPr>
          <w:color w:val="auto"/>
          <w:sz w:val="26"/>
          <w:szCs w:val="26"/>
        </w:rPr>
        <w:t>di</w:t>
      </w:r>
      <w:r w:rsidR="00E412EE" w:rsidRPr="004D4FB7">
        <w:rPr>
          <w:color w:val="auto"/>
          <w:sz w:val="26"/>
          <w:szCs w:val="26"/>
        </w:rPr>
        <w:t xml:space="preserve"> ir aprakstīt</w:t>
      </w:r>
      <w:r w:rsidR="00680BF2">
        <w:rPr>
          <w:color w:val="auto"/>
          <w:sz w:val="26"/>
          <w:szCs w:val="26"/>
        </w:rPr>
        <w:t>i</w:t>
      </w:r>
      <w:r w:rsidR="00E412EE" w:rsidRPr="004D4FB7">
        <w:rPr>
          <w:color w:val="auto"/>
          <w:sz w:val="26"/>
          <w:szCs w:val="26"/>
        </w:rPr>
        <w:t xml:space="preserve"> Informatīvajā ziņojumā</w:t>
      </w:r>
      <w:r w:rsidRPr="004D4FB7">
        <w:rPr>
          <w:color w:val="auto"/>
          <w:sz w:val="26"/>
          <w:szCs w:val="26"/>
        </w:rPr>
        <w:t>.</w:t>
      </w:r>
      <w:r>
        <w:rPr>
          <w:color w:val="auto"/>
          <w:sz w:val="26"/>
          <w:szCs w:val="26"/>
        </w:rPr>
        <w:t xml:space="preserve"> </w:t>
      </w:r>
    </w:p>
    <w:p w14:paraId="139F49BE" w14:textId="77777777" w:rsidR="008E54B1" w:rsidRDefault="008E54B1" w:rsidP="008E54B1">
      <w:pPr>
        <w:pStyle w:val="Default"/>
        <w:jc w:val="both"/>
        <w:rPr>
          <w:color w:val="auto"/>
          <w:sz w:val="26"/>
          <w:szCs w:val="26"/>
        </w:rPr>
      </w:pPr>
    </w:p>
    <w:p w14:paraId="4E5CAA52" w14:textId="77777777" w:rsidR="00C77E98" w:rsidRDefault="008E54B1" w:rsidP="00AA5958">
      <w:pPr>
        <w:pStyle w:val="Default"/>
        <w:spacing w:after="120"/>
        <w:jc w:val="both"/>
        <w:rPr>
          <w:color w:val="auto"/>
          <w:sz w:val="26"/>
          <w:szCs w:val="26"/>
        </w:rPr>
      </w:pPr>
      <w:r>
        <w:rPr>
          <w:color w:val="auto"/>
          <w:sz w:val="26"/>
          <w:szCs w:val="26"/>
        </w:rPr>
        <w:t xml:space="preserve">2. </w:t>
      </w:r>
      <w:r w:rsidR="00C77E98">
        <w:rPr>
          <w:color w:val="auto"/>
          <w:sz w:val="26"/>
          <w:szCs w:val="26"/>
        </w:rPr>
        <w:t>VNĪ</w:t>
      </w:r>
      <w:r>
        <w:rPr>
          <w:color w:val="auto"/>
          <w:sz w:val="26"/>
          <w:szCs w:val="26"/>
        </w:rPr>
        <w:t xml:space="preserve"> apņemas: </w:t>
      </w:r>
    </w:p>
    <w:p w14:paraId="6A710B47" w14:textId="7AF9800E" w:rsidR="008C7AD7" w:rsidRDefault="008C7AD7" w:rsidP="00AA5958">
      <w:pPr>
        <w:pStyle w:val="Default"/>
        <w:spacing w:after="120"/>
        <w:jc w:val="both"/>
        <w:rPr>
          <w:color w:val="auto"/>
          <w:sz w:val="26"/>
          <w:szCs w:val="26"/>
        </w:rPr>
      </w:pPr>
      <w:r>
        <w:rPr>
          <w:color w:val="auto"/>
          <w:sz w:val="26"/>
          <w:szCs w:val="26"/>
        </w:rPr>
        <w:t xml:space="preserve">2.1. </w:t>
      </w:r>
      <w:r w:rsidR="000D26CF">
        <w:rPr>
          <w:color w:val="auto"/>
          <w:sz w:val="26"/>
          <w:szCs w:val="26"/>
        </w:rPr>
        <w:t>īstenot Programmas ieviešanu</w:t>
      </w:r>
      <w:r w:rsidR="00E86551">
        <w:rPr>
          <w:color w:val="auto"/>
          <w:sz w:val="26"/>
          <w:szCs w:val="26"/>
        </w:rPr>
        <w:t xml:space="preserve">, koordinēt </w:t>
      </w:r>
      <w:r w:rsidR="007D7841">
        <w:rPr>
          <w:color w:val="auto"/>
          <w:sz w:val="26"/>
          <w:szCs w:val="26"/>
        </w:rPr>
        <w:t xml:space="preserve">un organizēt </w:t>
      </w:r>
      <w:r w:rsidR="00E86551">
        <w:rPr>
          <w:color w:val="auto"/>
          <w:sz w:val="26"/>
          <w:szCs w:val="26"/>
        </w:rPr>
        <w:t xml:space="preserve">Programmas </w:t>
      </w:r>
      <w:r w:rsidR="007455E2">
        <w:rPr>
          <w:color w:val="auto"/>
          <w:sz w:val="26"/>
          <w:szCs w:val="26"/>
        </w:rPr>
        <w:t>īstenošanas</w:t>
      </w:r>
      <w:r w:rsidR="00251EF6">
        <w:rPr>
          <w:color w:val="auto"/>
          <w:sz w:val="26"/>
          <w:szCs w:val="26"/>
        </w:rPr>
        <w:t xml:space="preserve"> procesu </w:t>
      </w:r>
      <w:r w:rsidR="007E40C7">
        <w:rPr>
          <w:color w:val="auto"/>
          <w:sz w:val="26"/>
          <w:szCs w:val="26"/>
        </w:rPr>
        <w:t xml:space="preserve">atbilstoši </w:t>
      </w:r>
      <w:r w:rsidR="00E86551">
        <w:rPr>
          <w:color w:val="auto"/>
          <w:sz w:val="26"/>
          <w:szCs w:val="26"/>
        </w:rPr>
        <w:t xml:space="preserve"> </w:t>
      </w:r>
      <w:proofErr w:type="spellStart"/>
      <w:r w:rsidR="007455E2">
        <w:rPr>
          <w:color w:val="auto"/>
          <w:sz w:val="26"/>
          <w:szCs w:val="26"/>
        </w:rPr>
        <w:t>Protokollēmumā</w:t>
      </w:r>
      <w:proofErr w:type="spellEnd"/>
      <w:r>
        <w:rPr>
          <w:color w:val="auto"/>
          <w:sz w:val="26"/>
          <w:szCs w:val="26"/>
        </w:rPr>
        <w:t xml:space="preserve"> </w:t>
      </w:r>
      <w:r w:rsidR="000C04B2">
        <w:rPr>
          <w:color w:val="auto"/>
          <w:sz w:val="26"/>
          <w:szCs w:val="26"/>
        </w:rPr>
        <w:t>un Informatīvajā ziņojumā noteiktajai kārtībai</w:t>
      </w:r>
      <w:r w:rsidR="00753B4B">
        <w:rPr>
          <w:color w:val="auto"/>
          <w:sz w:val="26"/>
          <w:szCs w:val="26"/>
        </w:rPr>
        <w:t xml:space="preserve"> un uzdevumiem</w:t>
      </w:r>
      <w:r w:rsidR="00B95BB7">
        <w:rPr>
          <w:color w:val="auto"/>
          <w:sz w:val="26"/>
          <w:szCs w:val="26"/>
        </w:rPr>
        <w:t>;</w:t>
      </w:r>
    </w:p>
    <w:p w14:paraId="4D1A966F" w14:textId="17ACDE54" w:rsidR="0043349E" w:rsidRDefault="008E54B1" w:rsidP="00AA5958">
      <w:pPr>
        <w:pStyle w:val="Default"/>
        <w:spacing w:after="120"/>
        <w:jc w:val="both"/>
        <w:rPr>
          <w:color w:val="auto"/>
          <w:sz w:val="26"/>
          <w:szCs w:val="26"/>
        </w:rPr>
      </w:pPr>
      <w:r>
        <w:rPr>
          <w:color w:val="auto"/>
          <w:sz w:val="26"/>
          <w:szCs w:val="26"/>
        </w:rPr>
        <w:t>2.</w:t>
      </w:r>
      <w:r w:rsidR="008C7AD7">
        <w:rPr>
          <w:color w:val="auto"/>
          <w:sz w:val="26"/>
          <w:szCs w:val="26"/>
        </w:rPr>
        <w:t>2</w:t>
      </w:r>
      <w:r>
        <w:rPr>
          <w:color w:val="auto"/>
          <w:sz w:val="26"/>
          <w:szCs w:val="26"/>
        </w:rPr>
        <w:t xml:space="preserve">. </w:t>
      </w:r>
      <w:r w:rsidR="002C7764">
        <w:rPr>
          <w:color w:val="auto"/>
          <w:sz w:val="26"/>
          <w:szCs w:val="26"/>
        </w:rPr>
        <w:t>sadarbībā ar Eiropas Investīciju bankas ekspertiem</w:t>
      </w:r>
      <w:r w:rsidR="002C7764" w:rsidRPr="00C77E98">
        <w:rPr>
          <w:color w:val="auto"/>
          <w:sz w:val="26"/>
          <w:szCs w:val="26"/>
        </w:rPr>
        <w:t xml:space="preserve"> </w:t>
      </w:r>
      <w:r w:rsidR="00C77E98" w:rsidRPr="00C77E98">
        <w:rPr>
          <w:color w:val="auto"/>
          <w:sz w:val="26"/>
          <w:szCs w:val="26"/>
        </w:rPr>
        <w:t>nodrošinā</w:t>
      </w:r>
      <w:r w:rsidR="00C77E98">
        <w:rPr>
          <w:color w:val="auto"/>
          <w:sz w:val="26"/>
          <w:szCs w:val="26"/>
        </w:rPr>
        <w:t>t</w:t>
      </w:r>
      <w:r w:rsidR="00C77E98" w:rsidRPr="00C77E98">
        <w:rPr>
          <w:color w:val="auto"/>
          <w:sz w:val="26"/>
          <w:szCs w:val="26"/>
        </w:rPr>
        <w:t xml:space="preserve"> </w:t>
      </w:r>
      <w:r w:rsidR="004D4FB7">
        <w:rPr>
          <w:color w:val="auto"/>
          <w:sz w:val="26"/>
          <w:szCs w:val="26"/>
        </w:rPr>
        <w:t>Programmas</w:t>
      </w:r>
      <w:r w:rsidR="00C77E98">
        <w:rPr>
          <w:color w:val="auto"/>
          <w:sz w:val="26"/>
          <w:szCs w:val="26"/>
        </w:rPr>
        <w:t xml:space="preserve"> finanšu un ekonomisko aprēķinu (turpmāk –</w:t>
      </w:r>
      <w:r w:rsidR="00C77E98" w:rsidRPr="00C77E98">
        <w:rPr>
          <w:color w:val="auto"/>
          <w:sz w:val="26"/>
          <w:szCs w:val="26"/>
        </w:rPr>
        <w:t xml:space="preserve"> FEA</w:t>
      </w:r>
      <w:r w:rsidR="00C77E98">
        <w:rPr>
          <w:color w:val="auto"/>
          <w:sz w:val="26"/>
          <w:szCs w:val="26"/>
        </w:rPr>
        <w:t>)</w:t>
      </w:r>
      <w:r w:rsidR="00C77E98" w:rsidRPr="00C77E98">
        <w:rPr>
          <w:color w:val="auto"/>
          <w:sz w:val="26"/>
          <w:szCs w:val="26"/>
        </w:rPr>
        <w:t xml:space="preserve"> izstrādi</w:t>
      </w:r>
      <w:r w:rsidR="00C77E98">
        <w:rPr>
          <w:color w:val="auto"/>
          <w:sz w:val="26"/>
          <w:szCs w:val="26"/>
        </w:rPr>
        <w:t>, ņemot vērā</w:t>
      </w:r>
      <w:r w:rsidR="002C7764">
        <w:rPr>
          <w:color w:val="auto"/>
          <w:sz w:val="26"/>
          <w:szCs w:val="26"/>
        </w:rPr>
        <w:t xml:space="preserve"> to</w:t>
      </w:r>
      <w:r w:rsidR="00C77E98">
        <w:rPr>
          <w:color w:val="auto"/>
          <w:sz w:val="26"/>
          <w:szCs w:val="26"/>
        </w:rPr>
        <w:t>, ka</w:t>
      </w:r>
      <w:r w:rsidR="00C77E98" w:rsidRPr="00C77E98">
        <w:rPr>
          <w:color w:val="auto"/>
          <w:sz w:val="26"/>
          <w:szCs w:val="26"/>
        </w:rPr>
        <w:t xml:space="preserve"> Programma tiks īstenota kopā ar citiem publiskajiem partneriem – pašvaldībām</w:t>
      </w:r>
      <w:r w:rsidR="002C7764">
        <w:rPr>
          <w:color w:val="auto"/>
          <w:sz w:val="26"/>
          <w:szCs w:val="26"/>
        </w:rPr>
        <w:t xml:space="preserve"> un</w:t>
      </w:r>
      <w:r w:rsidR="00C77E98" w:rsidRPr="00C77E98">
        <w:rPr>
          <w:color w:val="auto"/>
          <w:sz w:val="26"/>
          <w:szCs w:val="26"/>
        </w:rPr>
        <w:t xml:space="preserve"> pamatojoties uz attiecīgo pašvaldību domju pieņemtajiem lēmumiem par </w:t>
      </w:r>
      <w:r w:rsidR="002C7764">
        <w:rPr>
          <w:color w:val="auto"/>
          <w:sz w:val="26"/>
          <w:szCs w:val="26"/>
        </w:rPr>
        <w:t xml:space="preserve">konceptuālu </w:t>
      </w:r>
      <w:r w:rsidR="00C77E98" w:rsidRPr="00C77E98">
        <w:rPr>
          <w:color w:val="auto"/>
          <w:sz w:val="26"/>
          <w:szCs w:val="26"/>
        </w:rPr>
        <w:t xml:space="preserve">dalību </w:t>
      </w:r>
      <w:r w:rsidR="001A73E8">
        <w:rPr>
          <w:color w:val="auto"/>
          <w:sz w:val="26"/>
          <w:szCs w:val="26"/>
        </w:rPr>
        <w:t>Programmā</w:t>
      </w:r>
      <w:r w:rsidR="0043349E">
        <w:rPr>
          <w:color w:val="auto"/>
          <w:sz w:val="26"/>
          <w:szCs w:val="26"/>
        </w:rPr>
        <w:t>,</w:t>
      </w:r>
      <w:r w:rsidR="0043349E" w:rsidRPr="0043349E">
        <w:rPr>
          <w:color w:val="auto"/>
          <w:sz w:val="26"/>
          <w:szCs w:val="26"/>
        </w:rPr>
        <w:t xml:space="preserve"> </w:t>
      </w:r>
      <w:r w:rsidR="0043349E">
        <w:rPr>
          <w:color w:val="auto"/>
          <w:sz w:val="26"/>
          <w:szCs w:val="26"/>
        </w:rPr>
        <w:t>kā arī Pašvaldības noteikto noteiktā skaita un izmēra dzīvokļu pieprasījumu;</w:t>
      </w:r>
      <w:r w:rsidR="00C77E98">
        <w:rPr>
          <w:color w:val="auto"/>
          <w:sz w:val="26"/>
          <w:szCs w:val="26"/>
        </w:rPr>
        <w:t xml:space="preserve"> </w:t>
      </w:r>
    </w:p>
    <w:p w14:paraId="60DCB5B2" w14:textId="44D6F1DA" w:rsidR="008E54B1" w:rsidRDefault="0074213B" w:rsidP="00AA5958">
      <w:pPr>
        <w:pStyle w:val="Default"/>
        <w:spacing w:after="120"/>
        <w:jc w:val="both"/>
        <w:rPr>
          <w:color w:val="auto"/>
          <w:sz w:val="26"/>
          <w:szCs w:val="26"/>
        </w:rPr>
      </w:pPr>
      <w:r>
        <w:rPr>
          <w:color w:val="auto"/>
          <w:sz w:val="26"/>
          <w:szCs w:val="26"/>
        </w:rPr>
        <w:t xml:space="preserve">2.3. </w:t>
      </w:r>
      <w:r w:rsidR="00C77E98">
        <w:rPr>
          <w:color w:val="auto"/>
          <w:sz w:val="26"/>
          <w:szCs w:val="26"/>
        </w:rPr>
        <w:t>izstrādāt</w:t>
      </w:r>
      <w:r>
        <w:rPr>
          <w:color w:val="auto"/>
          <w:sz w:val="26"/>
          <w:szCs w:val="26"/>
        </w:rPr>
        <w:t xml:space="preserve"> FEA</w:t>
      </w:r>
      <w:r w:rsidR="00C77E98">
        <w:rPr>
          <w:color w:val="auto"/>
          <w:sz w:val="26"/>
          <w:szCs w:val="26"/>
        </w:rPr>
        <w:t xml:space="preserve"> </w:t>
      </w:r>
      <w:r w:rsidR="00C77E98" w:rsidRPr="00C77E98">
        <w:rPr>
          <w:color w:val="auto"/>
          <w:sz w:val="26"/>
          <w:szCs w:val="26"/>
        </w:rPr>
        <w:t xml:space="preserve">saskaņā ar Publiskās un privātās partnerības likuma </w:t>
      </w:r>
      <w:hyperlink r:id="rId15" w:anchor="p14" w:history="1">
        <w:r w:rsidR="00C77E98" w:rsidRPr="0074213B">
          <w:rPr>
            <w:rStyle w:val="Hyperlink"/>
            <w:sz w:val="26"/>
            <w:szCs w:val="26"/>
          </w:rPr>
          <w:t>14</w:t>
        </w:r>
      </w:hyperlink>
      <w:r w:rsidR="00C77E98" w:rsidRPr="00C77E98">
        <w:rPr>
          <w:color w:val="auto"/>
          <w:sz w:val="26"/>
          <w:szCs w:val="26"/>
        </w:rPr>
        <w:t>.pantu</w:t>
      </w:r>
      <w:r w:rsidR="00042E7D">
        <w:rPr>
          <w:color w:val="auto"/>
          <w:sz w:val="26"/>
          <w:szCs w:val="26"/>
        </w:rPr>
        <w:t>, komunicēt ar Pašvaldību FEA izstrādes laikā, nodrošinot, ka FEA tiek analizēta Pašvaldības sniegtā informācija</w:t>
      </w:r>
      <w:r w:rsidR="008E54B1">
        <w:rPr>
          <w:color w:val="auto"/>
          <w:sz w:val="26"/>
          <w:szCs w:val="26"/>
        </w:rPr>
        <w:t xml:space="preserve">; </w:t>
      </w:r>
    </w:p>
    <w:p w14:paraId="46DA50D4" w14:textId="77777777" w:rsidR="006713E1" w:rsidRDefault="00BF3DF3" w:rsidP="006713E1">
      <w:pPr>
        <w:pStyle w:val="Default"/>
        <w:spacing w:after="120"/>
        <w:jc w:val="both"/>
        <w:rPr>
          <w:color w:val="auto"/>
          <w:sz w:val="26"/>
          <w:szCs w:val="26"/>
        </w:rPr>
      </w:pPr>
      <w:r>
        <w:rPr>
          <w:color w:val="auto"/>
          <w:sz w:val="26"/>
          <w:szCs w:val="26"/>
        </w:rPr>
        <w:t>2.4.</w:t>
      </w:r>
      <w:r w:rsidR="006713E1">
        <w:rPr>
          <w:color w:val="auto"/>
          <w:sz w:val="26"/>
          <w:szCs w:val="26"/>
        </w:rPr>
        <w:t xml:space="preserve"> informēt Pašvaldību par FEA rezultātiem;</w:t>
      </w:r>
    </w:p>
    <w:p w14:paraId="633011AF" w14:textId="5DA4E1D4" w:rsidR="00551761" w:rsidRDefault="008E54B1" w:rsidP="006713E1">
      <w:pPr>
        <w:pStyle w:val="Default"/>
        <w:spacing w:after="120"/>
        <w:jc w:val="both"/>
        <w:rPr>
          <w:color w:val="auto"/>
          <w:sz w:val="26"/>
          <w:szCs w:val="26"/>
        </w:rPr>
      </w:pPr>
      <w:r>
        <w:rPr>
          <w:color w:val="auto"/>
          <w:sz w:val="26"/>
          <w:szCs w:val="26"/>
        </w:rPr>
        <w:t>2.</w:t>
      </w:r>
      <w:r w:rsidR="006713E1">
        <w:rPr>
          <w:color w:val="auto"/>
          <w:sz w:val="26"/>
          <w:szCs w:val="26"/>
        </w:rPr>
        <w:t>5</w:t>
      </w:r>
      <w:r>
        <w:rPr>
          <w:color w:val="auto"/>
          <w:sz w:val="26"/>
          <w:szCs w:val="26"/>
        </w:rPr>
        <w:t xml:space="preserve">. </w:t>
      </w:r>
      <w:r w:rsidR="002930CF" w:rsidRPr="002930CF">
        <w:rPr>
          <w:color w:val="auto"/>
          <w:sz w:val="26"/>
          <w:szCs w:val="26"/>
        </w:rPr>
        <w:t>saskaņo</w:t>
      </w:r>
      <w:r w:rsidR="002930CF">
        <w:rPr>
          <w:color w:val="auto"/>
          <w:sz w:val="26"/>
          <w:szCs w:val="26"/>
        </w:rPr>
        <w:t>t</w:t>
      </w:r>
      <w:r w:rsidR="002930CF" w:rsidRPr="002930CF">
        <w:rPr>
          <w:color w:val="auto"/>
          <w:sz w:val="26"/>
          <w:szCs w:val="26"/>
        </w:rPr>
        <w:t xml:space="preserve"> FEA ar Centrālo finanšu un līgumu aģentūru un F</w:t>
      </w:r>
      <w:r w:rsidR="002930CF">
        <w:rPr>
          <w:color w:val="auto"/>
          <w:sz w:val="26"/>
          <w:szCs w:val="26"/>
        </w:rPr>
        <w:t>inanšu ministriju</w:t>
      </w:r>
      <w:r w:rsidR="00551761">
        <w:rPr>
          <w:color w:val="auto"/>
          <w:sz w:val="26"/>
          <w:szCs w:val="26"/>
        </w:rPr>
        <w:t>;</w:t>
      </w:r>
    </w:p>
    <w:p w14:paraId="0E3345EF" w14:textId="35688EE8" w:rsidR="008E54B1" w:rsidRDefault="00551761" w:rsidP="008E09D7">
      <w:pPr>
        <w:pStyle w:val="Default"/>
        <w:spacing w:after="120"/>
        <w:jc w:val="both"/>
        <w:rPr>
          <w:color w:val="auto"/>
          <w:sz w:val="26"/>
          <w:szCs w:val="26"/>
        </w:rPr>
      </w:pPr>
      <w:r>
        <w:rPr>
          <w:color w:val="auto"/>
          <w:sz w:val="26"/>
          <w:szCs w:val="26"/>
        </w:rPr>
        <w:t xml:space="preserve">2.6. </w:t>
      </w:r>
      <w:r w:rsidR="00165F2E">
        <w:rPr>
          <w:color w:val="auto"/>
          <w:sz w:val="26"/>
          <w:szCs w:val="26"/>
        </w:rPr>
        <w:t xml:space="preserve">sagatavot rakstveida vienošanās projektu atbilstoši </w:t>
      </w:r>
      <w:hyperlink r:id="rId16" w:history="1">
        <w:r w:rsidR="00165F2E" w:rsidRPr="00276E3B">
          <w:rPr>
            <w:rStyle w:val="Hyperlink"/>
            <w:sz w:val="26"/>
            <w:szCs w:val="26"/>
          </w:rPr>
          <w:t>Publiskās un privātās partnerības likuma</w:t>
        </w:r>
      </w:hyperlink>
      <w:r w:rsidR="00165F2E">
        <w:rPr>
          <w:color w:val="auto"/>
          <w:sz w:val="26"/>
          <w:szCs w:val="26"/>
        </w:rPr>
        <w:t xml:space="preserve"> </w:t>
      </w:r>
      <w:hyperlink r:id="rId17" w:anchor="p6" w:history="1">
        <w:r w:rsidR="00165F2E" w:rsidRPr="008503B7">
          <w:rPr>
            <w:rStyle w:val="Hyperlink"/>
            <w:sz w:val="26"/>
            <w:szCs w:val="26"/>
          </w:rPr>
          <w:t>6.panta</w:t>
        </w:r>
      </w:hyperlink>
      <w:r w:rsidR="00165F2E">
        <w:rPr>
          <w:color w:val="auto"/>
          <w:sz w:val="26"/>
          <w:szCs w:val="26"/>
        </w:rPr>
        <w:t xml:space="preserve"> regulējumam</w:t>
      </w:r>
      <w:r w:rsidR="00B95BB7">
        <w:rPr>
          <w:color w:val="auto"/>
          <w:sz w:val="26"/>
          <w:szCs w:val="26"/>
        </w:rPr>
        <w:t>.</w:t>
      </w:r>
    </w:p>
    <w:p w14:paraId="186CAA9B" w14:textId="77777777" w:rsidR="008E54B1" w:rsidRDefault="008E54B1" w:rsidP="008E54B1">
      <w:pPr>
        <w:pStyle w:val="Default"/>
        <w:jc w:val="both"/>
        <w:rPr>
          <w:color w:val="auto"/>
          <w:sz w:val="26"/>
          <w:szCs w:val="26"/>
        </w:rPr>
      </w:pPr>
    </w:p>
    <w:p w14:paraId="0B2689C9" w14:textId="77777777" w:rsidR="002930CF" w:rsidRDefault="008E54B1" w:rsidP="00AA5958">
      <w:pPr>
        <w:pStyle w:val="Default"/>
        <w:spacing w:after="120"/>
        <w:jc w:val="both"/>
        <w:rPr>
          <w:color w:val="auto"/>
          <w:sz w:val="26"/>
          <w:szCs w:val="26"/>
        </w:rPr>
      </w:pPr>
      <w:r>
        <w:rPr>
          <w:color w:val="auto"/>
          <w:sz w:val="26"/>
          <w:szCs w:val="26"/>
        </w:rPr>
        <w:t xml:space="preserve">3. Pašvaldība apņemas: </w:t>
      </w:r>
    </w:p>
    <w:p w14:paraId="52BE1E54" w14:textId="3C7D8104" w:rsidR="00676B62" w:rsidRDefault="008E54B1" w:rsidP="00AA5958">
      <w:pPr>
        <w:pStyle w:val="Default"/>
        <w:spacing w:after="120"/>
        <w:jc w:val="both"/>
        <w:rPr>
          <w:sz w:val="26"/>
          <w:szCs w:val="26"/>
        </w:rPr>
      </w:pPr>
      <w:r>
        <w:rPr>
          <w:color w:val="auto"/>
          <w:sz w:val="26"/>
          <w:szCs w:val="26"/>
        </w:rPr>
        <w:t xml:space="preserve">3.1. </w:t>
      </w:r>
      <w:r w:rsidR="002930CF">
        <w:rPr>
          <w:color w:val="auto"/>
          <w:sz w:val="26"/>
          <w:szCs w:val="26"/>
        </w:rPr>
        <w:t xml:space="preserve">nodrošināt, ka </w:t>
      </w:r>
      <w:r w:rsidR="00953B10">
        <w:rPr>
          <w:color w:val="auto"/>
          <w:sz w:val="26"/>
          <w:szCs w:val="26"/>
        </w:rPr>
        <w:t>dalībai Programmā</w:t>
      </w:r>
      <w:r w:rsidR="002E7E68">
        <w:rPr>
          <w:color w:val="auto"/>
          <w:sz w:val="26"/>
          <w:szCs w:val="26"/>
        </w:rPr>
        <w:t xml:space="preserve">, līdz 2025.gada Pašvaldības lēmumam par dalību Programmā, </w:t>
      </w:r>
      <w:r w:rsidR="00953B10">
        <w:rPr>
          <w:color w:val="auto"/>
          <w:sz w:val="26"/>
          <w:szCs w:val="26"/>
        </w:rPr>
        <w:t xml:space="preserve"> </w:t>
      </w:r>
      <w:r w:rsidR="002930CF">
        <w:rPr>
          <w:color w:val="auto"/>
          <w:sz w:val="26"/>
          <w:szCs w:val="26"/>
        </w:rPr>
        <w:t>tiek rezervēt</w:t>
      </w:r>
      <w:r w:rsidR="0078196D">
        <w:rPr>
          <w:color w:val="auto"/>
          <w:sz w:val="26"/>
          <w:szCs w:val="26"/>
        </w:rPr>
        <w:t>s</w:t>
      </w:r>
      <w:r w:rsidR="002930CF">
        <w:rPr>
          <w:color w:val="auto"/>
          <w:sz w:val="26"/>
          <w:szCs w:val="26"/>
        </w:rPr>
        <w:t xml:space="preserve"> </w:t>
      </w:r>
      <w:r w:rsidR="00CD5C6F">
        <w:rPr>
          <w:color w:val="auto"/>
          <w:sz w:val="26"/>
          <w:szCs w:val="26"/>
        </w:rPr>
        <w:t>Pašvaldības</w:t>
      </w:r>
      <w:r w:rsidR="002930CF">
        <w:rPr>
          <w:color w:val="auto"/>
          <w:sz w:val="26"/>
          <w:szCs w:val="26"/>
        </w:rPr>
        <w:t xml:space="preserve"> lēmumā norādīt</w:t>
      </w:r>
      <w:r w:rsidR="0078196D">
        <w:rPr>
          <w:color w:val="auto"/>
          <w:sz w:val="26"/>
          <w:szCs w:val="26"/>
        </w:rPr>
        <w:t>a</w:t>
      </w:r>
      <w:r w:rsidR="00271CD2">
        <w:rPr>
          <w:color w:val="auto"/>
          <w:sz w:val="26"/>
          <w:szCs w:val="26"/>
        </w:rPr>
        <w:t>is</w:t>
      </w:r>
      <w:r w:rsidR="002930CF">
        <w:rPr>
          <w:color w:val="auto"/>
          <w:sz w:val="26"/>
          <w:szCs w:val="26"/>
        </w:rPr>
        <w:t xml:space="preserve"> augstas gatavības zemes gabal</w:t>
      </w:r>
      <w:r w:rsidR="00271CD2">
        <w:rPr>
          <w:color w:val="auto"/>
          <w:sz w:val="26"/>
          <w:szCs w:val="26"/>
        </w:rPr>
        <w:t xml:space="preserve">s (gabali), ko </w:t>
      </w:r>
      <w:r w:rsidR="00676B62" w:rsidRPr="00301881">
        <w:rPr>
          <w:sz w:val="26"/>
          <w:szCs w:val="26"/>
        </w:rPr>
        <w:t>var nodot privātajam partnerim kā publiskā partnera resursu īres dzīvokļu būvniecībai, tas ir, zemes gabals</w:t>
      </w:r>
      <w:r w:rsidR="00676B62">
        <w:rPr>
          <w:sz w:val="26"/>
          <w:szCs w:val="26"/>
        </w:rPr>
        <w:t>:</w:t>
      </w:r>
    </w:p>
    <w:p w14:paraId="341B75B1" w14:textId="77777777" w:rsidR="00095403" w:rsidRPr="00301881" w:rsidRDefault="00095403" w:rsidP="0064715F">
      <w:pPr>
        <w:pStyle w:val="Default"/>
        <w:numPr>
          <w:ilvl w:val="0"/>
          <w:numId w:val="21"/>
        </w:numPr>
        <w:spacing w:after="120"/>
        <w:ind w:left="567"/>
        <w:jc w:val="both"/>
        <w:rPr>
          <w:sz w:val="26"/>
          <w:szCs w:val="26"/>
        </w:rPr>
      </w:pPr>
      <w:r w:rsidRPr="00301881">
        <w:rPr>
          <w:sz w:val="26"/>
          <w:szCs w:val="26"/>
        </w:rPr>
        <w:t>ar teritorijas zonējumu, kas atbilst daudzdzīvokļu māju apbūves teritorijai, kura izmērs ir pietiekošs īres dzīvokļu (kā arī pieguļošās infrastruktūras, piemēram, autostāvvietu, bērnu laukumu u.c.) būvniecībai;</w:t>
      </w:r>
    </w:p>
    <w:p w14:paraId="1C7ECA4A" w14:textId="77777777" w:rsidR="00095403" w:rsidRPr="00301881" w:rsidRDefault="00095403" w:rsidP="0064715F">
      <w:pPr>
        <w:pStyle w:val="Default"/>
        <w:numPr>
          <w:ilvl w:val="0"/>
          <w:numId w:val="21"/>
        </w:numPr>
        <w:spacing w:after="120"/>
        <w:ind w:left="567"/>
        <w:jc w:val="both"/>
        <w:rPr>
          <w:sz w:val="26"/>
          <w:szCs w:val="26"/>
        </w:rPr>
      </w:pPr>
      <w:r w:rsidRPr="00301881">
        <w:rPr>
          <w:sz w:val="26"/>
          <w:szCs w:val="26"/>
        </w:rPr>
        <w:t>ar piebraucamo ceļu;</w:t>
      </w:r>
    </w:p>
    <w:p w14:paraId="47233B32" w14:textId="77777777" w:rsidR="00095403" w:rsidRPr="00301881" w:rsidRDefault="00095403" w:rsidP="0064715F">
      <w:pPr>
        <w:pStyle w:val="Default"/>
        <w:numPr>
          <w:ilvl w:val="0"/>
          <w:numId w:val="21"/>
        </w:numPr>
        <w:spacing w:after="120"/>
        <w:ind w:left="567"/>
        <w:jc w:val="both"/>
        <w:rPr>
          <w:sz w:val="26"/>
          <w:szCs w:val="26"/>
        </w:rPr>
      </w:pPr>
      <w:r w:rsidRPr="00301881">
        <w:rPr>
          <w:sz w:val="26"/>
          <w:szCs w:val="26"/>
        </w:rPr>
        <w:t>ar pieejamām atbilstošām komunikācijām (elektrības, ūdensvadu, kanalizācijas, apkures sistēmas, digitālo u.c. nepieciešamo komunikāciju pieejamību) vai attiecīgi iespējām tās netraucēti izveidot īres dzīvokļu būvniecības laikā*</w:t>
      </w:r>
    </w:p>
    <w:p w14:paraId="6686E585" w14:textId="3761A191" w:rsidR="002E7E68" w:rsidRDefault="00095403" w:rsidP="00AA5958">
      <w:pPr>
        <w:pStyle w:val="Default"/>
        <w:spacing w:after="120"/>
        <w:jc w:val="both"/>
        <w:rPr>
          <w:i/>
          <w:iCs/>
          <w:sz w:val="26"/>
          <w:szCs w:val="26"/>
        </w:rPr>
      </w:pPr>
      <w:r w:rsidRPr="00301881">
        <w:rPr>
          <w:sz w:val="26"/>
          <w:szCs w:val="26"/>
        </w:rPr>
        <w:t>*</w:t>
      </w:r>
      <w:r w:rsidRPr="00301881">
        <w:rPr>
          <w:i/>
          <w:iCs/>
          <w:sz w:val="26"/>
          <w:szCs w:val="26"/>
        </w:rPr>
        <w:t>Jo augstākas gatavības zemes gabals no pašvaldības puses tiks piedāvāts dalībai Programmā, jo kvalitatīvāki būs projekta aprēķini un mazākas izmaksas. Piedāvātā zemes gabala gatavība ir cieši saistīta ar privātā partnera piedāvājumu uzbūvēt un apsaimniekot mājas</w:t>
      </w:r>
      <w:r w:rsidR="002E7E68">
        <w:rPr>
          <w:color w:val="auto"/>
          <w:sz w:val="26"/>
          <w:szCs w:val="26"/>
        </w:rPr>
        <w:t>;</w:t>
      </w:r>
    </w:p>
    <w:p w14:paraId="5E7E109B" w14:textId="77777777" w:rsidR="002927A5" w:rsidRPr="002927A5" w:rsidRDefault="002927A5" w:rsidP="002927A5">
      <w:pPr>
        <w:jc w:val="center"/>
      </w:pPr>
    </w:p>
    <w:p w14:paraId="6867FEED" w14:textId="3CFD31D5" w:rsidR="002E7E68" w:rsidRDefault="002E7E68" w:rsidP="00AA5958">
      <w:pPr>
        <w:pStyle w:val="Default"/>
        <w:spacing w:after="120"/>
        <w:jc w:val="both"/>
        <w:rPr>
          <w:color w:val="auto"/>
          <w:sz w:val="26"/>
          <w:szCs w:val="26"/>
        </w:rPr>
      </w:pPr>
      <w:r>
        <w:rPr>
          <w:color w:val="auto"/>
          <w:sz w:val="26"/>
          <w:szCs w:val="26"/>
        </w:rPr>
        <w:t>3.2.</w:t>
      </w:r>
      <w:r w:rsidR="00C032C1" w:rsidRPr="00C032C1">
        <w:rPr>
          <w:color w:val="auto"/>
          <w:sz w:val="26"/>
          <w:szCs w:val="26"/>
        </w:rPr>
        <w:t xml:space="preserve"> </w:t>
      </w:r>
      <w:r w:rsidR="00C032C1">
        <w:rPr>
          <w:color w:val="auto"/>
          <w:sz w:val="26"/>
          <w:szCs w:val="26"/>
        </w:rPr>
        <w:t xml:space="preserve">pirms FEA izstrādes nodefinēt katrā konkrētajā pašvaldībā nepieciešamo </w:t>
      </w:r>
      <w:r w:rsidR="00C032C1" w:rsidRPr="004E441A">
        <w:rPr>
          <w:color w:val="auto"/>
          <w:sz w:val="26"/>
          <w:szCs w:val="26"/>
        </w:rPr>
        <w:t>noteikta skaita un izmēra dzīvokļu pieprasījumu</w:t>
      </w:r>
      <w:r w:rsidR="007E5688">
        <w:rPr>
          <w:color w:val="auto"/>
          <w:sz w:val="26"/>
          <w:szCs w:val="26"/>
        </w:rPr>
        <w:t xml:space="preserve"> (precīzs </w:t>
      </w:r>
      <w:r w:rsidR="007E5688" w:rsidRPr="007E5688">
        <w:rPr>
          <w:color w:val="auto"/>
          <w:sz w:val="26"/>
          <w:szCs w:val="26"/>
        </w:rPr>
        <w:t>sadalījums precizējams FEA</w:t>
      </w:r>
      <w:r w:rsidR="007E5688">
        <w:rPr>
          <w:color w:val="auto"/>
          <w:sz w:val="26"/>
          <w:szCs w:val="26"/>
        </w:rPr>
        <w:t>)</w:t>
      </w:r>
      <w:r w:rsidR="00C032C1">
        <w:rPr>
          <w:color w:val="auto"/>
          <w:sz w:val="26"/>
          <w:szCs w:val="26"/>
        </w:rPr>
        <w:t>;</w:t>
      </w:r>
    </w:p>
    <w:p w14:paraId="0AE010AF" w14:textId="797872C4" w:rsidR="008E54B1" w:rsidRDefault="00D128F0" w:rsidP="00AA5958">
      <w:pPr>
        <w:pStyle w:val="Default"/>
        <w:spacing w:after="120"/>
        <w:jc w:val="both"/>
        <w:rPr>
          <w:color w:val="auto"/>
          <w:sz w:val="26"/>
          <w:szCs w:val="26"/>
        </w:rPr>
      </w:pPr>
      <w:r>
        <w:rPr>
          <w:color w:val="auto"/>
          <w:sz w:val="26"/>
          <w:szCs w:val="26"/>
        </w:rPr>
        <w:t>3.3.</w:t>
      </w:r>
      <w:r w:rsidR="002930CF">
        <w:rPr>
          <w:color w:val="auto"/>
          <w:sz w:val="26"/>
          <w:szCs w:val="26"/>
        </w:rPr>
        <w:t xml:space="preserve">  nodrošināt, ka</w:t>
      </w:r>
      <w:r w:rsidR="003C2B0F">
        <w:rPr>
          <w:color w:val="auto"/>
          <w:sz w:val="26"/>
          <w:szCs w:val="26"/>
        </w:rPr>
        <w:t xml:space="preserve"> Programmas īstenošanai</w:t>
      </w:r>
      <w:r w:rsidR="002930CF">
        <w:rPr>
          <w:color w:val="auto"/>
          <w:sz w:val="26"/>
          <w:szCs w:val="26"/>
        </w:rPr>
        <w:t xml:space="preserve"> tiek uzsākta</w:t>
      </w:r>
      <w:r w:rsidR="00081654">
        <w:rPr>
          <w:color w:val="auto"/>
          <w:sz w:val="26"/>
          <w:szCs w:val="26"/>
        </w:rPr>
        <w:t xml:space="preserve"> </w:t>
      </w:r>
      <w:r w:rsidR="002930CF">
        <w:rPr>
          <w:color w:val="auto"/>
          <w:sz w:val="26"/>
          <w:szCs w:val="26"/>
        </w:rPr>
        <w:t xml:space="preserve"> Pašvaldības saistošo noteikumu izstrāde</w:t>
      </w:r>
      <w:r w:rsidR="00590AC1">
        <w:rPr>
          <w:color w:val="auto"/>
          <w:sz w:val="26"/>
          <w:szCs w:val="26"/>
        </w:rPr>
        <w:t xml:space="preserve"> vai esošo noteikumu pilnveidošana</w:t>
      </w:r>
      <w:r w:rsidR="009038DC">
        <w:rPr>
          <w:color w:val="auto"/>
          <w:sz w:val="26"/>
          <w:szCs w:val="26"/>
        </w:rPr>
        <w:t>, kas nodrošinās vispārējas tautsaimnieciskas nozīmes pakalpojuma sniegšanu savā administratīvajā teritorijā</w:t>
      </w:r>
      <w:r w:rsidR="008E54B1">
        <w:rPr>
          <w:color w:val="auto"/>
          <w:sz w:val="26"/>
          <w:szCs w:val="26"/>
        </w:rPr>
        <w:t xml:space="preserve">; </w:t>
      </w:r>
    </w:p>
    <w:p w14:paraId="50ECC49E" w14:textId="1A79BF84" w:rsidR="008E54B1" w:rsidRDefault="008E54B1" w:rsidP="00AA5958">
      <w:pPr>
        <w:pStyle w:val="Default"/>
        <w:spacing w:after="120"/>
        <w:jc w:val="both"/>
        <w:rPr>
          <w:color w:val="auto"/>
          <w:sz w:val="26"/>
          <w:szCs w:val="26"/>
        </w:rPr>
      </w:pPr>
      <w:r>
        <w:rPr>
          <w:color w:val="auto"/>
          <w:sz w:val="26"/>
          <w:szCs w:val="26"/>
        </w:rPr>
        <w:t>3.</w:t>
      </w:r>
      <w:r w:rsidR="005C2D95">
        <w:rPr>
          <w:color w:val="auto"/>
          <w:sz w:val="26"/>
          <w:szCs w:val="26"/>
        </w:rPr>
        <w:t>4</w:t>
      </w:r>
      <w:r>
        <w:rPr>
          <w:color w:val="auto"/>
          <w:sz w:val="26"/>
          <w:szCs w:val="26"/>
        </w:rPr>
        <w:t xml:space="preserve">. </w:t>
      </w:r>
      <w:r w:rsidR="006B352E">
        <w:rPr>
          <w:color w:val="auto"/>
          <w:sz w:val="26"/>
          <w:szCs w:val="26"/>
        </w:rPr>
        <w:t xml:space="preserve">sadarboties ar </w:t>
      </w:r>
      <w:r w:rsidR="002930CF">
        <w:rPr>
          <w:color w:val="auto"/>
          <w:sz w:val="26"/>
          <w:szCs w:val="26"/>
        </w:rPr>
        <w:t xml:space="preserve">VNĪ un VNĪ </w:t>
      </w:r>
      <w:r w:rsidR="005047B1">
        <w:rPr>
          <w:color w:val="auto"/>
          <w:sz w:val="26"/>
          <w:szCs w:val="26"/>
        </w:rPr>
        <w:t>norādītajām</w:t>
      </w:r>
      <w:r w:rsidR="00FD7CCF">
        <w:rPr>
          <w:color w:val="auto"/>
          <w:sz w:val="26"/>
          <w:szCs w:val="26"/>
        </w:rPr>
        <w:t xml:space="preserve"> kontaktpersonām</w:t>
      </w:r>
      <w:r w:rsidR="005047B1">
        <w:rPr>
          <w:color w:val="auto"/>
          <w:sz w:val="26"/>
          <w:szCs w:val="26"/>
        </w:rPr>
        <w:t xml:space="preserve"> </w:t>
      </w:r>
      <w:r w:rsidR="002930CF">
        <w:rPr>
          <w:color w:val="auto"/>
          <w:sz w:val="26"/>
          <w:szCs w:val="26"/>
        </w:rPr>
        <w:t xml:space="preserve"> FEA izstrādē, tajā skaitā </w:t>
      </w:r>
      <w:r w:rsidR="00BA6180">
        <w:rPr>
          <w:color w:val="auto"/>
          <w:sz w:val="26"/>
          <w:szCs w:val="26"/>
        </w:rPr>
        <w:t>VNĪ noteiktajos termiņos</w:t>
      </w:r>
      <w:r w:rsidR="00BA6180" w:rsidDel="00BA6180">
        <w:rPr>
          <w:color w:val="auto"/>
          <w:sz w:val="26"/>
          <w:szCs w:val="26"/>
        </w:rPr>
        <w:t xml:space="preserve"> </w:t>
      </w:r>
      <w:r w:rsidR="002930CF">
        <w:rPr>
          <w:color w:val="auto"/>
          <w:sz w:val="26"/>
          <w:szCs w:val="26"/>
        </w:rPr>
        <w:t xml:space="preserve">sniegt </w:t>
      </w:r>
      <w:r w:rsidR="003B567F">
        <w:rPr>
          <w:color w:val="auto"/>
          <w:sz w:val="26"/>
          <w:szCs w:val="26"/>
        </w:rPr>
        <w:t>Pašvaldības rīcībā esošos FEA izstrādei nepieciešamos datus un informāciju</w:t>
      </w:r>
      <w:r>
        <w:rPr>
          <w:color w:val="auto"/>
          <w:sz w:val="26"/>
          <w:szCs w:val="26"/>
        </w:rPr>
        <w:t xml:space="preserve">; </w:t>
      </w:r>
    </w:p>
    <w:p w14:paraId="263FC056" w14:textId="734C7E46" w:rsidR="008E54B1" w:rsidRDefault="008E54B1" w:rsidP="00AA5958">
      <w:pPr>
        <w:pStyle w:val="Default"/>
        <w:spacing w:after="120"/>
        <w:jc w:val="both"/>
        <w:rPr>
          <w:color w:val="auto"/>
          <w:sz w:val="26"/>
          <w:szCs w:val="26"/>
        </w:rPr>
      </w:pPr>
      <w:r>
        <w:rPr>
          <w:color w:val="auto"/>
          <w:sz w:val="26"/>
          <w:szCs w:val="26"/>
        </w:rPr>
        <w:t>3.</w:t>
      </w:r>
      <w:r w:rsidR="00E32792">
        <w:rPr>
          <w:color w:val="auto"/>
          <w:sz w:val="26"/>
          <w:szCs w:val="26"/>
        </w:rPr>
        <w:t>5</w:t>
      </w:r>
      <w:r>
        <w:rPr>
          <w:color w:val="auto"/>
          <w:sz w:val="26"/>
          <w:szCs w:val="26"/>
        </w:rPr>
        <w:t>.</w:t>
      </w:r>
      <w:r w:rsidR="004E431C">
        <w:rPr>
          <w:color w:val="auto"/>
          <w:sz w:val="26"/>
          <w:szCs w:val="26"/>
        </w:rPr>
        <w:t>sadarbojoties ar VNĪ arī citos Nodomu protokolā neatrunātajos jautājumos, veicināt Programmas īstenošanu Informatīvajā ziņojumā paredzētajā terminā, nodrošinot, ka tajā norādīto veicamo darbību termiņi, kā arī plānotais Programmas laika grafiks tiek ievērots</w:t>
      </w:r>
      <w:r>
        <w:rPr>
          <w:color w:val="auto"/>
          <w:sz w:val="26"/>
          <w:szCs w:val="26"/>
        </w:rPr>
        <w:t xml:space="preserve">; </w:t>
      </w:r>
    </w:p>
    <w:p w14:paraId="76C25C09" w14:textId="01AD4F86" w:rsidR="008E54B1" w:rsidRDefault="008E54B1" w:rsidP="0064715F">
      <w:pPr>
        <w:pStyle w:val="Default"/>
        <w:spacing w:after="120"/>
        <w:jc w:val="both"/>
        <w:rPr>
          <w:color w:val="auto"/>
          <w:sz w:val="26"/>
          <w:szCs w:val="26"/>
        </w:rPr>
      </w:pPr>
      <w:r>
        <w:rPr>
          <w:color w:val="auto"/>
          <w:sz w:val="26"/>
          <w:szCs w:val="26"/>
        </w:rPr>
        <w:t>3.</w:t>
      </w:r>
      <w:r w:rsidR="00F96B50">
        <w:rPr>
          <w:color w:val="auto"/>
          <w:sz w:val="26"/>
          <w:szCs w:val="26"/>
        </w:rPr>
        <w:t>6</w:t>
      </w:r>
      <w:r>
        <w:rPr>
          <w:color w:val="auto"/>
          <w:sz w:val="26"/>
          <w:szCs w:val="26"/>
        </w:rPr>
        <w:t>.</w:t>
      </w:r>
      <w:r w:rsidR="0052395F">
        <w:rPr>
          <w:color w:val="auto"/>
          <w:sz w:val="26"/>
          <w:szCs w:val="26"/>
        </w:rPr>
        <w:t xml:space="preserve"> 2025.gadā, Informatīvajā ziņojumā noteiktajā termiņā vai </w:t>
      </w:r>
      <w:r w:rsidR="0052395F" w:rsidRPr="0052395F">
        <w:rPr>
          <w:color w:val="auto"/>
          <w:sz w:val="26"/>
          <w:szCs w:val="26"/>
        </w:rPr>
        <w:t>citā ar VNĪ saskaņotajā termiņā</w:t>
      </w:r>
      <w:r w:rsidR="0052395F">
        <w:rPr>
          <w:color w:val="auto"/>
          <w:sz w:val="26"/>
          <w:szCs w:val="26"/>
        </w:rPr>
        <w:t>, pieņemt lēmumu par dalību vai atteikšanos piedalīties Programmā;</w:t>
      </w:r>
    </w:p>
    <w:p w14:paraId="53E049F4" w14:textId="031051C6" w:rsidR="00CA2E6A" w:rsidRDefault="008824EE" w:rsidP="0064715F">
      <w:pPr>
        <w:pStyle w:val="Default"/>
        <w:spacing w:after="120"/>
        <w:jc w:val="both"/>
        <w:rPr>
          <w:color w:val="auto"/>
          <w:sz w:val="26"/>
          <w:szCs w:val="26"/>
        </w:rPr>
      </w:pPr>
      <w:r>
        <w:rPr>
          <w:color w:val="auto"/>
          <w:sz w:val="26"/>
          <w:szCs w:val="26"/>
        </w:rPr>
        <w:t xml:space="preserve">3.7. </w:t>
      </w:r>
      <w:r w:rsidR="00A13C7B">
        <w:rPr>
          <w:color w:val="auto"/>
          <w:sz w:val="26"/>
          <w:szCs w:val="26"/>
        </w:rPr>
        <w:t xml:space="preserve">atbilstoši </w:t>
      </w:r>
      <w:hyperlink r:id="rId18" w:history="1">
        <w:r w:rsidR="00A13C7B" w:rsidRPr="00276E3B">
          <w:rPr>
            <w:rStyle w:val="Hyperlink"/>
            <w:sz w:val="26"/>
            <w:szCs w:val="26"/>
          </w:rPr>
          <w:t>Publiskās un privātās partnerības likuma</w:t>
        </w:r>
      </w:hyperlink>
      <w:r w:rsidR="00A13C7B">
        <w:rPr>
          <w:color w:val="auto"/>
          <w:sz w:val="26"/>
          <w:szCs w:val="26"/>
        </w:rPr>
        <w:t xml:space="preserve"> </w:t>
      </w:r>
      <w:hyperlink r:id="rId19" w:anchor="p6" w:history="1">
        <w:r w:rsidR="00A13C7B" w:rsidRPr="008503B7">
          <w:rPr>
            <w:rStyle w:val="Hyperlink"/>
            <w:sz w:val="26"/>
            <w:szCs w:val="26"/>
          </w:rPr>
          <w:t>6.panta</w:t>
        </w:r>
      </w:hyperlink>
      <w:r w:rsidR="00A13C7B">
        <w:rPr>
          <w:color w:val="auto"/>
          <w:sz w:val="26"/>
          <w:szCs w:val="26"/>
        </w:rPr>
        <w:t xml:space="preserve"> regulējumam parakstīt rakstveida vienošanos ar VNĪ, ja 2025.gadā Pašvaldība pieņēmusi lēmumu par dalību Programmā.</w:t>
      </w:r>
    </w:p>
    <w:p w14:paraId="66D5A336" w14:textId="31C3ACF9" w:rsidR="008E54B1" w:rsidRDefault="008E54B1" w:rsidP="008E54B1">
      <w:pPr>
        <w:pStyle w:val="Default"/>
        <w:jc w:val="both"/>
        <w:rPr>
          <w:color w:val="auto"/>
          <w:sz w:val="26"/>
          <w:szCs w:val="26"/>
        </w:rPr>
      </w:pPr>
      <w:r>
        <w:rPr>
          <w:color w:val="auto"/>
          <w:sz w:val="26"/>
          <w:szCs w:val="26"/>
        </w:rPr>
        <w:t xml:space="preserve"> </w:t>
      </w:r>
    </w:p>
    <w:p w14:paraId="28F0ABC9" w14:textId="21AC3846" w:rsidR="00174D1B" w:rsidRDefault="001B73EB" w:rsidP="00AA5958">
      <w:pPr>
        <w:pStyle w:val="Default"/>
        <w:spacing w:after="120"/>
        <w:jc w:val="both"/>
        <w:rPr>
          <w:color w:val="auto"/>
          <w:sz w:val="26"/>
          <w:szCs w:val="26"/>
        </w:rPr>
      </w:pPr>
      <w:r>
        <w:rPr>
          <w:color w:val="auto"/>
          <w:sz w:val="26"/>
          <w:szCs w:val="26"/>
        </w:rPr>
        <w:t>4</w:t>
      </w:r>
      <w:r w:rsidR="00174D1B">
        <w:rPr>
          <w:color w:val="auto"/>
          <w:sz w:val="26"/>
          <w:szCs w:val="26"/>
        </w:rPr>
        <w:t xml:space="preserve">. </w:t>
      </w:r>
      <w:r w:rsidR="00CD43E0">
        <w:rPr>
          <w:color w:val="auto"/>
          <w:sz w:val="26"/>
          <w:szCs w:val="26"/>
        </w:rPr>
        <w:t>Pušu kontaktpersonas</w:t>
      </w:r>
      <w:r w:rsidR="00524A92">
        <w:rPr>
          <w:color w:val="auto"/>
          <w:sz w:val="26"/>
          <w:szCs w:val="26"/>
        </w:rPr>
        <w:t>:</w:t>
      </w:r>
    </w:p>
    <w:p w14:paraId="016DB307" w14:textId="502925B7" w:rsidR="00524A92" w:rsidRPr="007114F6" w:rsidRDefault="001B73EB" w:rsidP="006C558B">
      <w:pPr>
        <w:pStyle w:val="Default"/>
        <w:spacing w:after="120"/>
        <w:jc w:val="both"/>
        <w:rPr>
          <w:sz w:val="26"/>
          <w:szCs w:val="26"/>
        </w:rPr>
      </w:pPr>
      <w:r>
        <w:rPr>
          <w:color w:val="auto"/>
          <w:sz w:val="26"/>
          <w:szCs w:val="26"/>
        </w:rPr>
        <w:t>4</w:t>
      </w:r>
      <w:r w:rsidR="00524A92">
        <w:rPr>
          <w:color w:val="auto"/>
          <w:sz w:val="26"/>
          <w:szCs w:val="26"/>
        </w:rPr>
        <w:t xml:space="preserve">.1. VNĪ kontaktpersona: </w:t>
      </w:r>
      <w:r w:rsidR="009D7727">
        <w:rPr>
          <w:color w:val="auto"/>
          <w:sz w:val="26"/>
          <w:szCs w:val="26"/>
        </w:rPr>
        <w:t xml:space="preserve">projektu vadītāja </w:t>
      </w:r>
      <w:r w:rsidR="00B82BA1">
        <w:rPr>
          <w:color w:val="auto"/>
          <w:sz w:val="26"/>
          <w:szCs w:val="26"/>
        </w:rPr>
        <w:t>Inga Pole</w:t>
      </w:r>
      <w:r w:rsidR="005950B6">
        <w:rPr>
          <w:color w:val="auto"/>
          <w:sz w:val="26"/>
          <w:szCs w:val="26"/>
        </w:rPr>
        <w:t>, t</w:t>
      </w:r>
      <w:r w:rsidR="005950B6" w:rsidRPr="005950B6">
        <w:rPr>
          <w:color w:val="auto"/>
          <w:sz w:val="26"/>
          <w:szCs w:val="26"/>
        </w:rPr>
        <w:t>ālr</w:t>
      </w:r>
      <w:r w:rsidR="005950B6">
        <w:rPr>
          <w:color w:val="auto"/>
          <w:sz w:val="26"/>
          <w:szCs w:val="26"/>
        </w:rPr>
        <w:t>.</w:t>
      </w:r>
      <w:r w:rsidR="005950B6" w:rsidRPr="005950B6">
        <w:rPr>
          <w:color w:val="auto"/>
          <w:sz w:val="26"/>
          <w:szCs w:val="26"/>
        </w:rPr>
        <w:t xml:space="preserve"> 26547797</w:t>
      </w:r>
      <w:r w:rsidR="005950B6">
        <w:rPr>
          <w:color w:val="auto"/>
          <w:sz w:val="26"/>
          <w:szCs w:val="26"/>
        </w:rPr>
        <w:t xml:space="preserve">, e-pasts </w:t>
      </w:r>
      <w:hyperlink r:id="rId20" w:history="1">
        <w:r w:rsidR="007114F6" w:rsidRPr="007114F6">
          <w:rPr>
            <w:rStyle w:val="Hyperlink"/>
            <w:sz w:val="26"/>
            <w:szCs w:val="26"/>
          </w:rPr>
          <w:t>vadibasgrupa.ppp@vni.lv</w:t>
        </w:r>
      </w:hyperlink>
      <w:r w:rsidR="007114F6">
        <w:rPr>
          <w:sz w:val="26"/>
          <w:szCs w:val="26"/>
        </w:rPr>
        <w:t xml:space="preserve"> </w:t>
      </w:r>
      <w:r w:rsidR="00053991">
        <w:rPr>
          <w:color w:val="auto"/>
          <w:sz w:val="26"/>
          <w:szCs w:val="26"/>
        </w:rPr>
        <w:t>;</w:t>
      </w:r>
    </w:p>
    <w:p w14:paraId="2D2F5947" w14:textId="5598C9E7" w:rsidR="00053991" w:rsidRDefault="001B73EB" w:rsidP="008E54B1">
      <w:pPr>
        <w:pStyle w:val="Default"/>
        <w:jc w:val="both"/>
        <w:rPr>
          <w:color w:val="auto"/>
          <w:sz w:val="26"/>
          <w:szCs w:val="26"/>
        </w:rPr>
      </w:pPr>
      <w:r>
        <w:rPr>
          <w:color w:val="auto"/>
          <w:sz w:val="26"/>
          <w:szCs w:val="26"/>
        </w:rPr>
        <w:t>4</w:t>
      </w:r>
      <w:r w:rsidR="00053991">
        <w:rPr>
          <w:color w:val="auto"/>
          <w:sz w:val="26"/>
          <w:szCs w:val="26"/>
        </w:rPr>
        <w:t>.2. Pašvaldības kontaktpersona _______________________</w:t>
      </w:r>
      <w:r w:rsidR="006C558B">
        <w:rPr>
          <w:color w:val="auto"/>
          <w:sz w:val="26"/>
          <w:szCs w:val="26"/>
        </w:rPr>
        <w:t xml:space="preserve"> </w:t>
      </w:r>
      <w:r w:rsidR="00053991">
        <w:rPr>
          <w:color w:val="auto"/>
          <w:sz w:val="26"/>
          <w:szCs w:val="26"/>
        </w:rPr>
        <w:t>____________________.</w:t>
      </w:r>
    </w:p>
    <w:p w14:paraId="4ADB260E" w14:textId="77777777" w:rsidR="008E54B1" w:rsidRDefault="008E54B1" w:rsidP="008E54B1">
      <w:pPr>
        <w:pStyle w:val="Default"/>
        <w:jc w:val="both"/>
        <w:rPr>
          <w:color w:val="auto"/>
          <w:sz w:val="26"/>
          <w:szCs w:val="26"/>
        </w:rPr>
      </w:pPr>
    </w:p>
    <w:p w14:paraId="544FD262" w14:textId="61867663" w:rsidR="008E54B1" w:rsidRDefault="001B73EB" w:rsidP="008E54B1">
      <w:pPr>
        <w:pStyle w:val="Default"/>
        <w:jc w:val="both"/>
        <w:rPr>
          <w:color w:val="auto"/>
          <w:sz w:val="26"/>
          <w:szCs w:val="26"/>
        </w:rPr>
      </w:pPr>
      <w:r>
        <w:rPr>
          <w:color w:val="auto"/>
          <w:sz w:val="26"/>
          <w:szCs w:val="26"/>
        </w:rPr>
        <w:t>5</w:t>
      </w:r>
      <w:r w:rsidR="008E54B1">
        <w:rPr>
          <w:color w:val="auto"/>
          <w:sz w:val="26"/>
          <w:szCs w:val="26"/>
        </w:rPr>
        <w:t xml:space="preserve">. Nodomu protokols stājas spēkā ar </w:t>
      </w:r>
      <w:r w:rsidR="00CF76A1">
        <w:rPr>
          <w:color w:val="auto"/>
          <w:sz w:val="26"/>
          <w:szCs w:val="26"/>
        </w:rPr>
        <w:t>tā abpusējas parakstīšanas brīdi</w:t>
      </w:r>
      <w:r w:rsidR="008E54B1">
        <w:rPr>
          <w:color w:val="auto"/>
          <w:sz w:val="26"/>
          <w:szCs w:val="26"/>
        </w:rPr>
        <w:t xml:space="preserve">. </w:t>
      </w:r>
    </w:p>
    <w:p w14:paraId="1546D7A4" w14:textId="77777777" w:rsidR="008E54B1" w:rsidRDefault="008E54B1" w:rsidP="008E54B1">
      <w:pPr>
        <w:pStyle w:val="Default"/>
        <w:jc w:val="both"/>
        <w:rPr>
          <w:color w:val="auto"/>
          <w:sz w:val="26"/>
          <w:szCs w:val="26"/>
        </w:rPr>
      </w:pPr>
    </w:p>
    <w:p w14:paraId="45A94091" w14:textId="7E789B23" w:rsidR="009E3EDB" w:rsidRDefault="001B73EB" w:rsidP="008E54B1">
      <w:pPr>
        <w:pStyle w:val="Default"/>
        <w:jc w:val="both"/>
        <w:rPr>
          <w:color w:val="auto"/>
          <w:sz w:val="26"/>
          <w:szCs w:val="26"/>
        </w:rPr>
      </w:pPr>
      <w:r>
        <w:rPr>
          <w:color w:val="auto"/>
          <w:sz w:val="26"/>
          <w:szCs w:val="26"/>
        </w:rPr>
        <w:t>6</w:t>
      </w:r>
      <w:r w:rsidR="008E54B1">
        <w:rPr>
          <w:color w:val="auto"/>
          <w:sz w:val="26"/>
          <w:szCs w:val="26"/>
        </w:rPr>
        <w:t>. Nodomu protokols</w:t>
      </w:r>
      <w:r w:rsidR="0025501A">
        <w:rPr>
          <w:color w:val="auto"/>
          <w:sz w:val="26"/>
          <w:szCs w:val="26"/>
        </w:rPr>
        <w:t xml:space="preserve"> ir sagatavots</w:t>
      </w:r>
      <w:r w:rsidR="001D53E2">
        <w:rPr>
          <w:color w:val="auto"/>
          <w:sz w:val="26"/>
          <w:szCs w:val="26"/>
        </w:rPr>
        <w:t xml:space="preserve"> latviešu valodā, uz 3 lapām (neskaitot pielikuma lapu skaitu), </w:t>
      </w:r>
      <w:r w:rsidR="000E59B1">
        <w:rPr>
          <w:color w:val="auto"/>
          <w:sz w:val="26"/>
          <w:szCs w:val="26"/>
        </w:rPr>
        <w:t>Nodomu protokolam tiek pievienots viens pielikums (Pašvaldības lēmums)</w:t>
      </w:r>
      <w:r w:rsidR="009E3EDB">
        <w:rPr>
          <w:color w:val="auto"/>
          <w:sz w:val="26"/>
          <w:szCs w:val="26"/>
        </w:rPr>
        <w:t>.</w:t>
      </w:r>
    </w:p>
    <w:p w14:paraId="59CB607B" w14:textId="091EE24E" w:rsidR="008E54B1" w:rsidRDefault="008E54B1" w:rsidP="008E54B1">
      <w:pPr>
        <w:pStyle w:val="Default"/>
        <w:jc w:val="both"/>
        <w:rPr>
          <w:color w:val="auto"/>
          <w:sz w:val="26"/>
          <w:szCs w:val="26"/>
        </w:rPr>
      </w:pPr>
    </w:p>
    <w:tbl>
      <w:tblPr>
        <w:tblW w:w="847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77"/>
        <w:gridCol w:w="4395"/>
      </w:tblGrid>
      <w:tr w:rsidR="00200DC9" w14:paraId="4B60C7A5" w14:textId="77777777" w:rsidTr="00200DC9">
        <w:trPr>
          <w:trHeight w:val="865"/>
        </w:trPr>
        <w:tc>
          <w:tcPr>
            <w:tcW w:w="4077" w:type="dxa"/>
            <w:tcBorders>
              <w:top w:val="none" w:sz="6" w:space="0" w:color="auto"/>
              <w:bottom w:val="none" w:sz="6" w:space="0" w:color="auto"/>
              <w:right w:val="none" w:sz="6" w:space="0" w:color="auto"/>
            </w:tcBorders>
          </w:tcPr>
          <w:p w14:paraId="53344EDA" w14:textId="77777777" w:rsidR="00CD43E0" w:rsidRDefault="00CD43E0">
            <w:pPr>
              <w:pStyle w:val="Default"/>
              <w:rPr>
                <w:sz w:val="26"/>
                <w:szCs w:val="26"/>
              </w:rPr>
            </w:pPr>
          </w:p>
          <w:p w14:paraId="6A412779" w14:textId="440371DF" w:rsidR="00200DC9" w:rsidRDefault="00200DC9">
            <w:pPr>
              <w:pStyle w:val="Default"/>
              <w:rPr>
                <w:sz w:val="26"/>
                <w:szCs w:val="26"/>
              </w:rPr>
            </w:pPr>
            <w:r>
              <w:rPr>
                <w:sz w:val="26"/>
                <w:szCs w:val="26"/>
              </w:rPr>
              <w:t xml:space="preserve">VNĪ: </w:t>
            </w:r>
          </w:p>
          <w:p w14:paraId="68F53D56" w14:textId="77777777" w:rsidR="003F439A" w:rsidRDefault="003F439A">
            <w:pPr>
              <w:pStyle w:val="Default"/>
              <w:rPr>
                <w:sz w:val="26"/>
                <w:szCs w:val="26"/>
              </w:rPr>
            </w:pPr>
          </w:p>
          <w:p w14:paraId="42233C33" w14:textId="77777777" w:rsidR="0018395A" w:rsidRDefault="003F439A">
            <w:pPr>
              <w:pStyle w:val="Default"/>
              <w:rPr>
                <w:sz w:val="22"/>
                <w:szCs w:val="22"/>
              </w:rPr>
            </w:pPr>
            <w:r w:rsidRPr="0018395A">
              <w:rPr>
                <w:sz w:val="22"/>
                <w:szCs w:val="22"/>
              </w:rPr>
              <w:t xml:space="preserve">Valsts akciju sabiedrība </w:t>
            </w:r>
          </w:p>
          <w:p w14:paraId="4140EBF4" w14:textId="38F8F6DD" w:rsidR="003F439A" w:rsidRPr="0018395A" w:rsidRDefault="003F439A">
            <w:pPr>
              <w:pStyle w:val="Default"/>
              <w:rPr>
                <w:sz w:val="22"/>
                <w:szCs w:val="22"/>
              </w:rPr>
            </w:pPr>
            <w:r w:rsidRPr="0018395A">
              <w:rPr>
                <w:sz w:val="22"/>
                <w:szCs w:val="22"/>
              </w:rPr>
              <w:t>"Valsts nekustamie īpašumi"</w:t>
            </w:r>
          </w:p>
          <w:p w14:paraId="7453DD13" w14:textId="512CB4B5" w:rsidR="003F439A" w:rsidRPr="0018395A" w:rsidRDefault="003F439A">
            <w:pPr>
              <w:pStyle w:val="Default"/>
              <w:rPr>
                <w:sz w:val="22"/>
                <w:szCs w:val="22"/>
              </w:rPr>
            </w:pPr>
            <w:r w:rsidRPr="0018395A">
              <w:rPr>
                <w:sz w:val="22"/>
                <w:szCs w:val="22"/>
              </w:rPr>
              <w:t xml:space="preserve">Reģistrācijas Nr. </w:t>
            </w:r>
            <w:r w:rsidR="000420A7" w:rsidRPr="0018395A">
              <w:rPr>
                <w:sz w:val="22"/>
                <w:szCs w:val="22"/>
              </w:rPr>
              <w:t>40003294758</w:t>
            </w:r>
          </w:p>
          <w:p w14:paraId="704905A3" w14:textId="3D4129D9" w:rsidR="000420A7" w:rsidRDefault="000420A7">
            <w:pPr>
              <w:pStyle w:val="Default"/>
              <w:rPr>
                <w:sz w:val="22"/>
                <w:szCs w:val="22"/>
              </w:rPr>
            </w:pPr>
            <w:r w:rsidRPr="0018395A">
              <w:rPr>
                <w:sz w:val="22"/>
                <w:szCs w:val="22"/>
              </w:rPr>
              <w:t xml:space="preserve">Juridiskā adrese: </w:t>
            </w:r>
            <w:r w:rsidR="0018395A" w:rsidRPr="0018395A">
              <w:rPr>
                <w:sz w:val="22"/>
                <w:szCs w:val="22"/>
              </w:rPr>
              <w:t>Talejas iela 1, Rīga, LV-1026</w:t>
            </w:r>
          </w:p>
          <w:p w14:paraId="497EFC58" w14:textId="3C7C9494" w:rsidR="00316C63" w:rsidRDefault="00316C63">
            <w:pPr>
              <w:pStyle w:val="Default"/>
              <w:rPr>
                <w:sz w:val="22"/>
                <w:szCs w:val="22"/>
              </w:rPr>
            </w:pPr>
            <w:r>
              <w:rPr>
                <w:sz w:val="22"/>
                <w:szCs w:val="22"/>
              </w:rPr>
              <w:t xml:space="preserve">E-pasts: </w:t>
            </w:r>
            <w:hyperlink r:id="rId21" w:history="1">
              <w:r w:rsidRPr="000B5FF9">
                <w:rPr>
                  <w:rStyle w:val="Hyperlink"/>
                  <w:sz w:val="22"/>
                  <w:szCs w:val="22"/>
                </w:rPr>
                <w:t>vni@vni.lv</w:t>
              </w:r>
            </w:hyperlink>
          </w:p>
          <w:p w14:paraId="7C0FD92D" w14:textId="57008AA3" w:rsidR="00316C63" w:rsidRDefault="00316C63">
            <w:pPr>
              <w:pStyle w:val="Default"/>
              <w:rPr>
                <w:sz w:val="22"/>
                <w:szCs w:val="22"/>
              </w:rPr>
            </w:pPr>
            <w:proofErr w:type="spellStart"/>
            <w:r>
              <w:rPr>
                <w:sz w:val="22"/>
                <w:szCs w:val="22"/>
              </w:rPr>
              <w:t>eAdrese</w:t>
            </w:r>
            <w:proofErr w:type="spellEnd"/>
          </w:p>
          <w:p w14:paraId="2A2A5E81" w14:textId="77777777" w:rsidR="00316C63" w:rsidRDefault="00316C63">
            <w:pPr>
              <w:pStyle w:val="Default"/>
              <w:rPr>
                <w:sz w:val="22"/>
                <w:szCs w:val="22"/>
              </w:rPr>
            </w:pPr>
          </w:p>
          <w:p w14:paraId="3CEF81C2" w14:textId="77777777" w:rsidR="00316C63" w:rsidRPr="0018395A" w:rsidRDefault="00316C63">
            <w:pPr>
              <w:pStyle w:val="Default"/>
              <w:pBdr>
                <w:bottom w:val="single" w:sz="12" w:space="1" w:color="auto"/>
              </w:pBdr>
              <w:rPr>
                <w:sz w:val="22"/>
                <w:szCs w:val="22"/>
              </w:rPr>
            </w:pPr>
          </w:p>
          <w:p w14:paraId="5A272D82" w14:textId="77777777" w:rsidR="00316C63" w:rsidRDefault="00316C63">
            <w:pPr>
              <w:pStyle w:val="Default"/>
              <w:rPr>
                <w:sz w:val="26"/>
                <w:szCs w:val="26"/>
              </w:rPr>
            </w:pPr>
          </w:p>
          <w:p w14:paraId="3008819E" w14:textId="6BB8A568" w:rsidR="00200DC9" w:rsidRDefault="00200DC9">
            <w:pPr>
              <w:pStyle w:val="Default"/>
              <w:rPr>
                <w:sz w:val="26"/>
                <w:szCs w:val="26"/>
              </w:rPr>
            </w:pPr>
            <w:r>
              <w:rPr>
                <w:sz w:val="26"/>
                <w:szCs w:val="26"/>
              </w:rPr>
              <w:t>Valdes priekšsēdētājs</w:t>
            </w:r>
          </w:p>
          <w:p w14:paraId="51615361" w14:textId="134127FF" w:rsidR="00200DC9" w:rsidRDefault="00200DC9" w:rsidP="007E5688">
            <w:pPr>
              <w:pStyle w:val="Default"/>
              <w:rPr>
                <w:sz w:val="26"/>
                <w:szCs w:val="26"/>
              </w:rPr>
            </w:pPr>
            <w:proofErr w:type="spellStart"/>
            <w:r>
              <w:rPr>
                <w:sz w:val="26"/>
                <w:szCs w:val="26"/>
              </w:rPr>
              <w:t>R.Griškevičs</w:t>
            </w:r>
            <w:proofErr w:type="spellEnd"/>
            <w:r>
              <w:rPr>
                <w:sz w:val="26"/>
                <w:szCs w:val="26"/>
              </w:rPr>
              <w:t xml:space="preserve"> </w:t>
            </w:r>
          </w:p>
        </w:tc>
        <w:tc>
          <w:tcPr>
            <w:tcW w:w="4395" w:type="dxa"/>
            <w:tcBorders>
              <w:top w:val="none" w:sz="6" w:space="0" w:color="auto"/>
              <w:left w:val="none" w:sz="6" w:space="0" w:color="auto"/>
              <w:bottom w:val="none" w:sz="6" w:space="0" w:color="auto"/>
              <w:right w:val="none" w:sz="6" w:space="0" w:color="auto"/>
            </w:tcBorders>
          </w:tcPr>
          <w:p w14:paraId="62FC3769" w14:textId="77777777" w:rsidR="00CD43E0" w:rsidRDefault="00CD43E0">
            <w:pPr>
              <w:pStyle w:val="Default"/>
              <w:rPr>
                <w:sz w:val="26"/>
                <w:szCs w:val="26"/>
              </w:rPr>
            </w:pPr>
          </w:p>
          <w:p w14:paraId="1DC886EF" w14:textId="18C1EF0B" w:rsidR="00200DC9" w:rsidRDefault="00200DC9">
            <w:pPr>
              <w:pStyle w:val="Default"/>
              <w:rPr>
                <w:sz w:val="26"/>
                <w:szCs w:val="26"/>
              </w:rPr>
            </w:pPr>
            <w:r>
              <w:rPr>
                <w:sz w:val="26"/>
                <w:szCs w:val="26"/>
              </w:rPr>
              <w:t xml:space="preserve">Pašvaldība: </w:t>
            </w:r>
          </w:p>
          <w:p w14:paraId="30ED385F" w14:textId="748F807B" w:rsidR="00200DC9" w:rsidRDefault="00200DC9">
            <w:pPr>
              <w:pStyle w:val="Default"/>
              <w:pBdr>
                <w:bottom w:val="single" w:sz="12" w:space="1" w:color="auto"/>
              </w:pBdr>
              <w:rPr>
                <w:sz w:val="26"/>
                <w:szCs w:val="26"/>
              </w:rPr>
            </w:pPr>
          </w:p>
          <w:p w14:paraId="6F65FAD6" w14:textId="77777777" w:rsidR="00316C63" w:rsidRDefault="00316C63">
            <w:pPr>
              <w:pStyle w:val="Default"/>
              <w:pBdr>
                <w:bottom w:val="single" w:sz="12" w:space="1" w:color="auto"/>
              </w:pBdr>
              <w:rPr>
                <w:sz w:val="22"/>
                <w:szCs w:val="22"/>
              </w:rPr>
            </w:pPr>
          </w:p>
          <w:p w14:paraId="6775F5D8" w14:textId="77777777" w:rsidR="00316C63" w:rsidRDefault="00316C63">
            <w:pPr>
              <w:pStyle w:val="Default"/>
              <w:pBdr>
                <w:bottom w:val="single" w:sz="12" w:space="1" w:color="auto"/>
              </w:pBdr>
              <w:rPr>
                <w:sz w:val="22"/>
                <w:szCs w:val="22"/>
              </w:rPr>
            </w:pPr>
          </w:p>
          <w:p w14:paraId="4E59F19A" w14:textId="77777777" w:rsidR="00316C63" w:rsidRDefault="00316C63">
            <w:pPr>
              <w:pStyle w:val="Default"/>
              <w:pBdr>
                <w:bottom w:val="single" w:sz="12" w:space="1" w:color="auto"/>
              </w:pBdr>
              <w:rPr>
                <w:sz w:val="22"/>
                <w:szCs w:val="22"/>
              </w:rPr>
            </w:pPr>
          </w:p>
          <w:p w14:paraId="082A9499" w14:textId="77777777" w:rsidR="00316C63" w:rsidRDefault="00316C63">
            <w:pPr>
              <w:pStyle w:val="Default"/>
              <w:pBdr>
                <w:bottom w:val="single" w:sz="12" w:space="1" w:color="auto"/>
              </w:pBdr>
              <w:rPr>
                <w:sz w:val="22"/>
                <w:szCs w:val="22"/>
              </w:rPr>
            </w:pPr>
          </w:p>
          <w:p w14:paraId="0736AF80" w14:textId="77777777" w:rsidR="00316C63" w:rsidRDefault="00316C63">
            <w:pPr>
              <w:pStyle w:val="Default"/>
              <w:pBdr>
                <w:bottom w:val="single" w:sz="12" w:space="1" w:color="auto"/>
              </w:pBdr>
              <w:rPr>
                <w:sz w:val="22"/>
                <w:szCs w:val="22"/>
              </w:rPr>
            </w:pPr>
          </w:p>
          <w:p w14:paraId="4E4C0A17" w14:textId="77777777" w:rsidR="00316C63" w:rsidRDefault="00316C63">
            <w:pPr>
              <w:pStyle w:val="Default"/>
              <w:pBdr>
                <w:bottom w:val="single" w:sz="12" w:space="1" w:color="auto"/>
              </w:pBdr>
              <w:rPr>
                <w:sz w:val="22"/>
                <w:szCs w:val="22"/>
              </w:rPr>
            </w:pPr>
          </w:p>
          <w:p w14:paraId="70BF2A6B" w14:textId="77777777" w:rsidR="00316C63" w:rsidRDefault="00316C63">
            <w:pPr>
              <w:pStyle w:val="Default"/>
              <w:pBdr>
                <w:bottom w:val="single" w:sz="12" w:space="1" w:color="auto"/>
              </w:pBdr>
              <w:rPr>
                <w:sz w:val="22"/>
                <w:szCs w:val="22"/>
              </w:rPr>
            </w:pPr>
          </w:p>
          <w:p w14:paraId="3D885DA3" w14:textId="77777777" w:rsidR="00316C63" w:rsidRDefault="00316C63">
            <w:pPr>
              <w:pStyle w:val="Default"/>
              <w:pBdr>
                <w:bottom w:val="single" w:sz="12" w:space="1" w:color="auto"/>
              </w:pBdr>
              <w:rPr>
                <w:sz w:val="22"/>
                <w:szCs w:val="22"/>
              </w:rPr>
            </w:pPr>
          </w:p>
          <w:p w14:paraId="61E8E338" w14:textId="77777777" w:rsidR="00316C63" w:rsidRPr="00316C63" w:rsidRDefault="00316C63">
            <w:pPr>
              <w:pStyle w:val="Default"/>
              <w:pBdr>
                <w:bottom w:val="single" w:sz="12" w:space="1" w:color="auto"/>
              </w:pBdr>
              <w:rPr>
                <w:sz w:val="22"/>
                <w:szCs w:val="22"/>
              </w:rPr>
            </w:pPr>
          </w:p>
          <w:p w14:paraId="4AEE6579" w14:textId="4040D69C" w:rsidR="00200DC9" w:rsidRDefault="00200DC9">
            <w:pPr>
              <w:pStyle w:val="Default"/>
              <w:rPr>
                <w:sz w:val="26"/>
                <w:szCs w:val="26"/>
              </w:rPr>
            </w:pPr>
            <w:r>
              <w:rPr>
                <w:sz w:val="26"/>
                <w:szCs w:val="26"/>
              </w:rPr>
              <w:t xml:space="preserve"> </w:t>
            </w:r>
          </w:p>
        </w:tc>
      </w:tr>
    </w:tbl>
    <w:p w14:paraId="3D7DE4A6" w14:textId="77777777" w:rsidR="00BC500E" w:rsidRDefault="00BC500E" w:rsidP="007E5688"/>
    <w:sectPr w:rsidR="00BC500E" w:rsidSect="00F32ED8">
      <w:footerReference w:type="default" r:id="rId22"/>
      <w:pgSz w:w="11906" w:h="16838"/>
      <w:pgMar w:top="993" w:right="991"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7B84" w14:textId="77777777" w:rsidR="00273AC7" w:rsidRDefault="00273AC7" w:rsidP="007E5688">
      <w:pPr>
        <w:spacing w:after="0" w:line="240" w:lineRule="auto"/>
      </w:pPr>
      <w:r>
        <w:separator/>
      </w:r>
    </w:p>
  </w:endnote>
  <w:endnote w:type="continuationSeparator" w:id="0">
    <w:p w14:paraId="3B760A0E" w14:textId="77777777" w:rsidR="00273AC7" w:rsidRDefault="00273AC7" w:rsidP="007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42751330"/>
      <w:docPartObj>
        <w:docPartGallery w:val="Page Numbers (Bottom of Page)"/>
        <w:docPartUnique/>
      </w:docPartObj>
    </w:sdtPr>
    <w:sdtContent>
      <w:p w14:paraId="3EE1C49E" w14:textId="3D5A3C16" w:rsidR="007E5688" w:rsidRPr="007E5688" w:rsidRDefault="007E5688">
        <w:pPr>
          <w:pStyle w:val="Footer"/>
          <w:jc w:val="center"/>
          <w:rPr>
            <w:rFonts w:ascii="Times New Roman" w:hAnsi="Times New Roman" w:cs="Times New Roman"/>
          </w:rPr>
        </w:pPr>
        <w:r w:rsidRPr="007E5688">
          <w:rPr>
            <w:rFonts w:ascii="Times New Roman" w:hAnsi="Times New Roman" w:cs="Times New Roman"/>
          </w:rPr>
          <w:fldChar w:fldCharType="begin"/>
        </w:r>
        <w:r w:rsidRPr="00F32ED8">
          <w:rPr>
            <w:rFonts w:ascii="Times New Roman" w:hAnsi="Times New Roman" w:cs="Times New Roman"/>
          </w:rPr>
          <w:instrText>PAGE   \* MERGEFORMAT</w:instrText>
        </w:r>
        <w:r w:rsidRPr="007E5688">
          <w:rPr>
            <w:rFonts w:ascii="Times New Roman" w:hAnsi="Times New Roman" w:cs="Times New Roman"/>
          </w:rPr>
          <w:fldChar w:fldCharType="separate"/>
        </w:r>
        <w:r w:rsidRPr="002927A5">
          <w:rPr>
            <w:rFonts w:ascii="Times New Roman" w:hAnsi="Times New Roman" w:cs="Times New Roman"/>
          </w:rPr>
          <w:t>2</w:t>
        </w:r>
        <w:r w:rsidRPr="007E568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92F7" w14:textId="77777777" w:rsidR="00273AC7" w:rsidRDefault="00273AC7" w:rsidP="007E5688">
      <w:pPr>
        <w:spacing w:after="0" w:line="240" w:lineRule="auto"/>
      </w:pPr>
      <w:r>
        <w:separator/>
      </w:r>
    </w:p>
  </w:footnote>
  <w:footnote w:type="continuationSeparator" w:id="0">
    <w:p w14:paraId="35DE001D" w14:textId="77777777" w:rsidR="00273AC7" w:rsidRDefault="00273AC7" w:rsidP="007E5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A678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D107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3FEA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737E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962A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AD7F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6C800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8B6C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2F658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8176A5"/>
    <w:multiLevelType w:val="hybridMultilevel"/>
    <w:tmpl w:val="D1483E84"/>
    <w:lvl w:ilvl="0" w:tplc="A19C69BE">
      <w:start w:val="1"/>
      <w:numFmt w:val="lowerLetter"/>
      <w:lvlText w:val="%1)"/>
      <w:lvlJc w:val="left"/>
      <w:pPr>
        <w:ind w:left="720" w:hanging="360"/>
      </w:pPr>
    </w:lvl>
    <w:lvl w:ilvl="1" w:tplc="298EA304">
      <w:start w:val="1"/>
      <w:numFmt w:val="lowerLetter"/>
      <w:lvlText w:val="%2)"/>
      <w:lvlJc w:val="left"/>
      <w:pPr>
        <w:ind w:left="720" w:hanging="360"/>
      </w:pPr>
    </w:lvl>
    <w:lvl w:ilvl="2" w:tplc="55B8E272">
      <w:start w:val="1"/>
      <w:numFmt w:val="lowerLetter"/>
      <w:lvlText w:val="%3)"/>
      <w:lvlJc w:val="left"/>
      <w:pPr>
        <w:ind w:left="720" w:hanging="360"/>
      </w:pPr>
    </w:lvl>
    <w:lvl w:ilvl="3" w:tplc="C20CF9BE">
      <w:start w:val="1"/>
      <w:numFmt w:val="lowerLetter"/>
      <w:lvlText w:val="%4)"/>
      <w:lvlJc w:val="left"/>
      <w:pPr>
        <w:ind w:left="720" w:hanging="360"/>
      </w:pPr>
    </w:lvl>
    <w:lvl w:ilvl="4" w:tplc="829AF17C">
      <w:start w:val="1"/>
      <w:numFmt w:val="lowerLetter"/>
      <w:lvlText w:val="%5)"/>
      <w:lvlJc w:val="left"/>
      <w:pPr>
        <w:ind w:left="720" w:hanging="360"/>
      </w:pPr>
    </w:lvl>
    <w:lvl w:ilvl="5" w:tplc="BD0AB32E">
      <w:start w:val="1"/>
      <w:numFmt w:val="lowerLetter"/>
      <w:lvlText w:val="%6)"/>
      <w:lvlJc w:val="left"/>
      <w:pPr>
        <w:ind w:left="720" w:hanging="360"/>
      </w:pPr>
    </w:lvl>
    <w:lvl w:ilvl="6" w:tplc="883E3746">
      <w:start w:val="1"/>
      <w:numFmt w:val="lowerLetter"/>
      <w:lvlText w:val="%7)"/>
      <w:lvlJc w:val="left"/>
      <w:pPr>
        <w:ind w:left="720" w:hanging="360"/>
      </w:pPr>
    </w:lvl>
    <w:lvl w:ilvl="7" w:tplc="F6F22F64">
      <w:start w:val="1"/>
      <w:numFmt w:val="lowerLetter"/>
      <w:lvlText w:val="%8)"/>
      <w:lvlJc w:val="left"/>
      <w:pPr>
        <w:ind w:left="720" w:hanging="360"/>
      </w:pPr>
    </w:lvl>
    <w:lvl w:ilvl="8" w:tplc="80A0101C">
      <w:start w:val="1"/>
      <w:numFmt w:val="lowerLetter"/>
      <w:lvlText w:val="%9)"/>
      <w:lvlJc w:val="left"/>
      <w:pPr>
        <w:ind w:left="720" w:hanging="360"/>
      </w:pPr>
    </w:lvl>
  </w:abstractNum>
  <w:abstractNum w:abstractNumId="10" w15:restartNumberingAfterBreak="0">
    <w:nsid w:val="06DD08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264A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61F7D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906D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49D0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9D24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A369A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DDAB1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194C2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0A65CEA"/>
    <w:multiLevelType w:val="hybridMultilevel"/>
    <w:tmpl w:val="A57AB0E4"/>
    <w:lvl w:ilvl="0" w:tplc="60A86D9E">
      <w:start w:val="1"/>
      <w:numFmt w:val="lowerLetter"/>
      <w:lvlText w:val="%1)"/>
      <w:lvlJc w:val="left"/>
      <w:pPr>
        <w:ind w:left="1353"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7C3135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59082169">
    <w:abstractNumId w:val="2"/>
  </w:num>
  <w:num w:numId="2" w16cid:durableId="524639544">
    <w:abstractNumId w:val="13"/>
  </w:num>
  <w:num w:numId="3" w16cid:durableId="1922525658">
    <w:abstractNumId w:val="8"/>
  </w:num>
  <w:num w:numId="4" w16cid:durableId="684328307">
    <w:abstractNumId w:val="20"/>
  </w:num>
  <w:num w:numId="5" w16cid:durableId="829833610">
    <w:abstractNumId w:val="0"/>
  </w:num>
  <w:num w:numId="6" w16cid:durableId="301039576">
    <w:abstractNumId w:val="11"/>
  </w:num>
  <w:num w:numId="7" w16cid:durableId="1336034046">
    <w:abstractNumId w:val="6"/>
  </w:num>
  <w:num w:numId="8" w16cid:durableId="1360280596">
    <w:abstractNumId w:val="7"/>
  </w:num>
  <w:num w:numId="9" w16cid:durableId="45614900">
    <w:abstractNumId w:val="15"/>
  </w:num>
  <w:num w:numId="10" w16cid:durableId="144594100">
    <w:abstractNumId w:val="18"/>
  </w:num>
  <w:num w:numId="11" w16cid:durableId="853419414">
    <w:abstractNumId w:val="1"/>
  </w:num>
  <w:num w:numId="12" w16cid:durableId="320890682">
    <w:abstractNumId w:val="5"/>
  </w:num>
  <w:num w:numId="13" w16cid:durableId="1669553918">
    <w:abstractNumId w:val="16"/>
  </w:num>
  <w:num w:numId="14" w16cid:durableId="70659939">
    <w:abstractNumId w:val="3"/>
  </w:num>
  <w:num w:numId="15" w16cid:durableId="906914969">
    <w:abstractNumId w:val="14"/>
  </w:num>
  <w:num w:numId="16" w16cid:durableId="160656386">
    <w:abstractNumId w:val="10"/>
  </w:num>
  <w:num w:numId="17" w16cid:durableId="1528257101">
    <w:abstractNumId w:val="17"/>
  </w:num>
  <w:num w:numId="18" w16cid:durableId="187760651">
    <w:abstractNumId w:val="12"/>
  </w:num>
  <w:num w:numId="19" w16cid:durableId="1369187635">
    <w:abstractNumId w:val="4"/>
  </w:num>
  <w:num w:numId="20" w16cid:durableId="851339138">
    <w:abstractNumId w:val="9"/>
  </w:num>
  <w:num w:numId="21" w16cid:durableId="1296714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B1"/>
    <w:rsid w:val="00017B35"/>
    <w:rsid w:val="00025861"/>
    <w:rsid w:val="00025D7D"/>
    <w:rsid w:val="000420A7"/>
    <w:rsid w:val="00042E7D"/>
    <w:rsid w:val="00045E5B"/>
    <w:rsid w:val="00053991"/>
    <w:rsid w:val="00055815"/>
    <w:rsid w:val="00057D51"/>
    <w:rsid w:val="00081654"/>
    <w:rsid w:val="00082E31"/>
    <w:rsid w:val="0008573D"/>
    <w:rsid w:val="00095403"/>
    <w:rsid w:val="000C04B2"/>
    <w:rsid w:val="000D26CF"/>
    <w:rsid w:val="000E396F"/>
    <w:rsid w:val="000E59B1"/>
    <w:rsid w:val="000F5628"/>
    <w:rsid w:val="000F78DD"/>
    <w:rsid w:val="001066A0"/>
    <w:rsid w:val="0010748A"/>
    <w:rsid w:val="00165F2E"/>
    <w:rsid w:val="00174D1B"/>
    <w:rsid w:val="0018395A"/>
    <w:rsid w:val="001940A0"/>
    <w:rsid w:val="00197417"/>
    <w:rsid w:val="001A73E8"/>
    <w:rsid w:val="001B73EB"/>
    <w:rsid w:val="001D53E2"/>
    <w:rsid w:val="001E7AD6"/>
    <w:rsid w:val="00200DC9"/>
    <w:rsid w:val="0022508E"/>
    <w:rsid w:val="00251EF6"/>
    <w:rsid w:val="002530B8"/>
    <w:rsid w:val="0025501A"/>
    <w:rsid w:val="00271CD2"/>
    <w:rsid w:val="00273AC7"/>
    <w:rsid w:val="00281121"/>
    <w:rsid w:val="002927A5"/>
    <w:rsid w:val="002930CF"/>
    <w:rsid w:val="002A6C3D"/>
    <w:rsid w:val="002C3120"/>
    <w:rsid w:val="002C7764"/>
    <w:rsid w:val="002D0BA3"/>
    <w:rsid w:val="002E008C"/>
    <w:rsid w:val="002E7E68"/>
    <w:rsid w:val="00315655"/>
    <w:rsid w:val="00316C63"/>
    <w:rsid w:val="00320720"/>
    <w:rsid w:val="0035401F"/>
    <w:rsid w:val="003B567F"/>
    <w:rsid w:val="003C2B0F"/>
    <w:rsid w:val="003D711A"/>
    <w:rsid w:val="003F41ED"/>
    <w:rsid w:val="003F439A"/>
    <w:rsid w:val="00400B4C"/>
    <w:rsid w:val="00416CF7"/>
    <w:rsid w:val="0043349E"/>
    <w:rsid w:val="00434593"/>
    <w:rsid w:val="00461FC4"/>
    <w:rsid w:val="004B4942"/>
    <w:rsid w:val="004B49B7"/>
    <w:rsid w:val="004C7956"/>
    <w:rsid w:val="004D3F84"/>
    <w:rsid w:val="004D4FB7"/>
    <w:rsid w:val="004E431C"/>
    <w:rsid w:val="005047B1"/>
    <w:rsid w:val="00507DAC"/>
    <w:rsid w:val="0052395F"/>
    <w:rsid w:val="00524A92"/>
    <w:rsid w:val="0054728D"/>
    <w:rsid w:val="00551761"/>
    <w:rsid w:val="0055324D"/>
    <w:rsid w:val="0055333D"/>
    <w:rsid w:val="0058036C"/>
    <w:rsid w:val="00590AC1"/>
    <w:rsid w:val="005950B6"/>
    <w:rsid w:val="005A755E"/>
    <w:rsid w:val="005C2D95"/>
    <w:rsid w:val="006017DD"/>
    <w:rsid w:val="0060320A"/>
    <w:rsid w:val="0061537E"/>
    <w:rsid w:val="0064715F"/>
    <w:rsid w:val="006669C6"/>
    <w:rsid w:val="006713E1"/>
    <w:rsid w:val="00676B62"/>
    <w:rsid w:val="00680BF2"/>
    <w:rsid w:val="006840AF"/>
    <w:rsid w:val="00691AE2"/>
    <w:rsid w:val="00695B81"/>
    <w:rsid w:val="006B352E"/>
    <w:rsid w:val="006C558B"/>
    <w:rsid w:val="006D3CAC"/>
    <w:rsid w:val="006D611C"/>
    <w:rsid w:val="006F3031"/>
    <w:rsid w:val="0070295F"/>
    <w:rsid w:val="007114F6"/>
    <w:rsid w:val="00724BF0"/>
    <w:rsid w:val="00737B09"/>
    <w:rsid w:val="007419F8"/>
    <w:rsid w:val="0074213B"/>
    <w:rsid w:val="007455E2"/>
    <w:rsid w:val="00753B4B"/>
    <w:rsid w:val="00765E72"/>
    <w:rsid w:val="0078196D"/>
    <w:rsid w:val="00781C94"/>
    <w:rsid w:val="00783457"/>
    <w:rsid w:val="007D7841"/>
    <w:rsid w:val="007E40C7"/>
    <w:rsid w:val="007E5688"/>
    <w:rsid w:val="008030B2"/>
    <w:rsid w:val="00813422"/>
    <w:rsid w:val="0082487F"/>
    <w:rsid w:val="0082791D"/>
    <w:rsid w:val="0084107A"/>
    <w:rsid w:val="0086127C"/>
    <w:rsid w:val="00872809"/>
    <w:rsid w:val="008824EE"/>
    <w:rsid w:val="008A78A2"/>
    <w:rsid w:val="008C7AD7"/>
    <w:rsid w:val="008D7E6C"/>
    <w:rsid w:val="008E09D7"/>
    <w:rsid w:val="008E54B1"/>
    <w:rsid w:val="008F204B"/>
    <w:rsid w:val="009038DC"/>
    <w:rsid w:val="00922035"/>
    <w:rsid w:val="00952406"/>
    <w:rsid w:val="00953B10"/>
    <w:rsid w:val="00954688"/>
    <w:rsid w:val="00962B2B"/>
    <w:rsid w:val="009D5016"/>
    <w:rsid w:val="009D7727"/>
    <w:rsid w:val="009E3EDB"/>
    <w:rsid w:val="009F3A9E"/>
    <w:rsid w:val="00A13C7B"/>
    <w:rsid w:val="00AA4547"/>
    <w:rsid w:val="00AA5958"/>
    <w:rsid w:val="00AB7633"/>
    <w:rsid w:val="00AD05EE"/>
    <w:rsid w:val="00B0094F"/>
    <w:rsid w:val="00B31DE8"/>
    <w:rsid w:val="00B352DE"/>
    <w:rsid w:val="00B42C6B"/>
    <w:rsid w:val="00B60614"/>
    <w:rsid w:val="00B82BA1"/>
    <w:rsid w:val="00B8337F"/>
    <w:rsid w:val="00B90441"/>
    <w:rsid w:val="00B95BB7"/>
    <w:rsid w:val="00BA2012"/>
    <w:rsid w:val="00BA6180"/>
    <w:rsid w:val="00BB2C95"/>
    <w:rsid w:val="00BC500E"/>
    <w:rsid w:val="00BD77F7"/>
    <w:rsid w:val="00BF3DF3"/>
    <w:rsid w:val="00C032C1"/>
    <w:rsid w:val="00C04F79"/>
    <w:rsid w:val="00C371EC"/>
    <w:rsid w:val="00C60682"/>
    <w:rsid w:val="00C62AA1"/>
    <w:rsid w:val="00C77E98"/>
    <w:rsid w:val="00C877FF"/>
    <w:rsid w:val="00C961E8"/>
    <w:rsid w:val="00CA2E6A"/>
    <w:rsid w:val="00CB1747"/>
    <w:rsid w:val="00CC23D7"/>
    <w:rsid w:val="00CC4C71"/>
    <w:rsid w:val="00CD43E0"/>
    <w:rsid w:val="00CD53BA"/>
    <w:rsid w:val="00CD5C6F"/>
    <w:rsid w:val="00CE6B75"/>
    <w:rsid w:val="00CF76A1"/>
    <w:rsid w:val="00D04F04"/>
    <w:rsid w:val="00D128F0"/>
    <w:rsid w:val="00D44849"/>
    <w:rsid w:val="00D831C7"/>
    <w:rsid w:val="00DB4B3B"/>
    <w:rsid w:val="00DD0313"/>
    <w:rsid w:val="00DF4E28"/>
    <w:rsid w:val="00E149F3"/>
    <w:rsid w:val="00E2042D"/>
    <w:rsid w:val="00E2554B"/>
    <w:rsid w:val="00E32792"/>
    <w:rsid w:val="00E412EE"/>
    <w:rsid w:val="00E42D28"/>
    <w:rsid w:val="00E55211"/>
    <w:rsid w:val="00E60C8D"/>
    <w:rsid w:val="00E61708"/>
    <w:rsid w:val="00E62837"/>
    <w:rsid w:val="00E83DAC"/>
    <w:rsid w:val="00E86551"/>
    <w:rsid w:val="00EF43B5"/>
    <w:rsid w:val="00F32ED8"/>
    <w:rsid w:val="00F343DF"/>
    <w:rsid w:val="00F70B4D"/>
    <w:rsid w:val="00F7466E"/>
    <w:rsid w:val="00F96B50"/>
    <w:rsid w:val="00FB2FD6"/>
    <w:rsid w:val="00FD7CCF"/>
    <w:rsid w:val="00FE1DF0"/>
    <w:rsid w:val="00FE23CF"/>
    <w:rsid w:val="00FF19C5"/>
    <w:rsid w:val="00FF23F5"/>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655D"/>
  <w15:chartTrackingRefBased/>
  <w15:docId w15:val="{1D7D2482-90E7-4F1F-B4AE-8B8011D9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4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4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4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4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4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4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4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4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4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4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4B1"/>
    <w:rPr>
      <w:rFonts w:eastAsiaTheme="majorEastAsia" w:cstheme="majorBidi"/>
      <w:color w:val="272727" w:themeColor="text1" w:themeTint="D8"/>
    </w:rPr>
  </w:style>
  <w:style w:type="paragraph" w:styleId="Title">
    <w:name w:val="Title"/>
    <w:basedOn w:val="Normal"/>
    <w:next w:val="Normal"/>
    <w:link w:val="TitleChar"/>
    <w:uiPriority w:val="10"/>
    <w:qFormat/>
    <w:rsid w:val="008E5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4B1"/>
    <w:pPr>
      <w:spacing w:before="160"/>
      <w:jc w:val="center"/>
    </w:pPr>
    <w:rPr>
      <w:i/>
      <w:iCs/>
      <w:color w:val="404040" w:themeColor="text1" w:themeTint="BF"/>
    </w:rPr>
  </w:style>
  <w:style w:type="character" w:customStyle="1" w:styleId="QuoteChar">
    <w:name w:val="Quote Char"/>
    <w:basedOn w:val="DefaultParagraphFont"/>
    <w:link w:val="Quote"/>
    <w:uiPriority w:val="29"/>
    <w:rsid w:val="008E54B1"/>
    <w:rPr>
      <w:i/>
      <w:iCs/>
      <w:color w:val="404040" w:themeColor="text1" w:themeTint="BF"/>
    </w:rPr>
  </w:style>
  <w:style w:type="paragraph" w:styleId="ListParagraph">
    <w:name w:val="List Paragraph"/>
    <w:basedOn w:val="Normal"/>
    <w:uiPriority w:val="34"/>
    <w:qFormat/>
    <w:rsid w:val="008E54B1"/>
    <w:pPr>
      <w:ind w:left="720"/>
      <w:contextualSpacing/>
    </w:pPr>
  </w:style>
  <w:style w:type="character" w:styleId="IntenseEmphasis">
    <w:name w:val="Intense Emphasis"/>
    <w:basedOn w:val="DefaultParagraphFont"/>
    <w:uiPriority w:val="21"/>
    <w:qFormat/>
    <w:rsid w:val="008E54B1"/>
    <w:rPr>
      <w:i/>
      <w:iCs/>
      <w:color w:val="2F5496" w:themeColor="accent1" w:themeShade="BF"/>
    </w:rPr>
  </w:style>
  <w:style w:type="paragraph" w:styleId="IntenseQuote">
    <w:name w:val="Intense Quote"/>
    <w:basedOn w:val="Normal"/>
    <w:next w:val="Normal"/>
    <w:link w:val="IntenseQuoteChar"/>
    <w:uiPriority w:val="30"/>
    <w:qFormat/>
    <w:rsid w:val="008E5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4B1"/>
    <w:rPr>
      <w:i/>
      <w:iCs/>
      <w:color w:val="2F5496" w:themeColor="accent1" w:themeShade="BF"/>
    </w:rPr>
  </w:style>
  <w:style w:type="character" w:styleId="IntenseReference">
    <w:name w:val="Intense Reference"/>
    <w:basedOn w:val="DefaultParagraphFont"/>
    <w:uiPriority w:val="32"/>
    <w:qFormat/>
    <w:rsid w:val="008E54B1"/>
    <w:rPr>
      <w:b/>
      <w:bCs/>
      <w:smallCaps/>
      <w:color w:val="2F5496" w:themeColor="accent1" w:themeShade="BF"/>
      <w:spacing w:val="5"/>
    </w:rPr>
  </w:style>
  <w:style w:type="paragraph" w:customStyle="1" w:styleId="Default">
    <w:name w:val="Default"/>
    <w:rsid w:val="008E54B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872809"/>
    <w:rPr>
      <w:sz w:val="16"/>
      <w:szCs w:val="16"/>
    </w:rPr>
  </w:style>
  <w:style w:type="paragraph" w:styleId="CommentText">
    <w:name w:val="annotation text"/>
    <w:basedOn w:val="Normal"/>
    <w:link w:val="CommentTextChar"/>
    <w:uiPriority w:val="99"/>
    <w:unhideWhenUsed/>
    <w:rsid w:val="00872809"/>
    <w:pPr>
      <w:spacing w:line="240" w:lineRule="auto"/>
    </w:pPr>
    <w:rPr>
      <w:sz w:val="20"/>
      <w:szCs w:val="20"/>
    </w:rPr>
  </w:style>
  <w:style w:type="character" w:customStyle="1" w:styleId="CommentTextChar">
    <w:name w:val="Comment Text Char"/>
    <w:basedOn w:val="DefaultParagraphFont"/>
    <w:link w:val="CommentText"/>
    <w:uiPriority w:val="99"/>
    <w:rsid w:val="00872809"/>
    <w:rPr>
      <w:sz w:val="20"/>
      <w:szCs w:val="20"/>
    </w:rPr>
  </w:style>
  <w:style w:type="paragraph" w:styleId="CommentSubject">
    <w:name w:val="annotation subject"/>
    <w:basedOn w:val="CommentText"/>
    <w:next w:val="CommentText"/>
    <w:link w:val="CommentSubjectChar"/>
    <w:uiPriority w:val="99"/>
    <w:semiHidden/>
    <w:unhideWhenUsed/>
    <w:rsid w:val="00872809"/>
    <w:rPr>
      <w:b/>
      <w:bCs/>
    </w:rPr>
  </w:style>
  <w:style w:type="character" w:customStyle="1" w:styleId="CommentSubjectChar">
    <w:name w:val="Comment Subject Char"/>
    <w:basedOn w:val="CommentTextChar"/>
    <w:link w:val="CommentSubject"/>
    <w:uiPriority w:val="99"/>
    <w:semiHidden/>
    <w:rsid w:val="00872809"/>
    <w:rPr>
      <w:b/>
      <w:bCs/>
      <w:sz w:val="20"/>
      <w:szCs w:val="20"/>
    </w:rPr>
  </w:style>
  <w:style w:type="character" w:styleId="Hyperlink">
    <w:name w:val="Hyperlink"/>
    <w:basedOn w:val="DefaultParagraphFont"/>
    <w:uiPriority w:val="99"/>
    <w:unhideWhenUsed/>
    <w:rsid w:val="00316C63"/>
    <w:rPr>
      <w:color w:val="0563C1" w:themeColor="hyperlink"/>
      <w:u w:val="single"/>
    </w:rPr>
  </w:style>
  <w:style w:type="character" w:styleId="UnresolvedMention">
    <w:name w:val="Unresolved Mention"/>
    <w:basedOn w:val="DefaultParagraphFont"/>
    <w:uiPriority w:val="99"/>
    <w:semiHidden/>
    <w:unhideWhenUsed/>
    <w:rsid w:val="00316C63"/>
    <w:rPr>
      <w:color w:val="605E5C"/>
      <w:shd w:val="clear" w:color="auto" w:fill="E1DFDD"/>
    </w:rPr>
  </w:style>
  <w:style w:type="paragraph" w:styleId="Revision">
    <w:name w:val="Revision"/>
    <w:hidden/>
    <w:uiPriority w:val="99"/>
    <w:semiHidden/>
    <w:rsid w:val="00AB7633"/>
    <w:pPr>
      <w:spacing w:after="0" w:line="240" w:lineRule="auto"/>
    </w:pPr>
  </w:style>
  <w:style w:type="character" w:styleId="FollowedHyperlink">
    <w:name w:val="FollowedHyperlink"/>
    <w:basedOn w:val="DefaultParagraphFont"/>
    <w:uiPriority w:val="99"/>
    <w:semiHidden/>
    <w:unhideWhenUsed/>
    <w:rsid w:val="002E008C"/>
    <w:rPr>
      <w:color w:val="954F72" w:themeColor="followedHyperlink"/>
      <w:u w:val="single"/>
    </w:rPr>
  </w:style>
  <w:style w:type="paragraph" w:styleId="Header">
    <w:name w:val="header"/>
    <w:basedOn w:val="Normal"/>
    <w:link w:val="HeaderChar"/>
    <w:uiPriority w:val="99"/>
    <w:unhideWhenUsed/>
    <w:rsid w:val="007E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688"/>
  </w:style>
  <w:style w:type="paragraph" w:styleId="Footer">
    <w:name w:val="footer"/>
    <w:basedOn w:val="Normal"/>
    <w:link w:val="FooterChar"/>
    <w:uiPriority w:val="99"/>
    <w:unhideWhenUsed/>
    <w:rsid w:val="007E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0338">
      <w:bodyDiv w:val="1"/>
      <w:marLeft w:val="0"/>
      <w:marRight w:val="0"/>
      <w:marTop w:val="0"/>
      <w:marBottom w:val="0"/>
      <w:divBdr>
        <w:top w:val="none" w:sz="0" w:space="0" w:color="auto"/>
        <w:left w:val="none" w:sz="0" w:space="0" w:color="auto"/>
        <w:bottom w:val="none" w:sz="0" w:space="0" w:color="auto"/>
        <w:right w:val="none" w:sz="0" w:space="0" w:color="auto"/>
      </w:divBdr>
    </w:div>
    <w:div w:id="660930995">
      <w:bodyDiv w:val="1"/>
      <w:marLeft w:val="0"/>
      <w:marRight w:val="0"/>
      <w:marTop w:val="0"/>
      <w:marBottom w:val="0"/>
      <w:divBdr>
        <w:top w:val="none" w:sz="0" w:space="0" w:color="auto"/>
        <w:left w:val="none" w:sz="0" w:space="0" w:color="auto"/>
        <w:bottom w:val="none" w:sz="0" w:space="0" w:color="auto"/>
        <w:right w:val="none" w:sz="0" w:space="0" w:color="auto"/>
      </w:divBdr>
    </w:div>
    <w:div w:id="787168283">
      <w:bodyDiv w:val="1"/>
      <w:marLeft w:val="0"/>
      <w:marRight w:val="0"/>
      <w:marTop w:val="0"/>
      <w:marBottom w:val="0"/>
      <w:divBdr>
        <w:top w:val="none" w:sz="0" w:space="0" w:color="auto"/>
        <w:left w:val="none" w:sz="0" w:space="0" w:color="auto"/>
        <w:bottom w:val="none" w:sz="0" w:space="0" w:color="auto"/>
        <w:right w:val="none" w:sz="0" w:space="0" w:color="auto"/>
      </w:divBdr>
    </w:div>
    <w:div w:id="17935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194597-publiskas-un-privatas-partneribas-likums" TargetMode="External"/><Relationship Id="rId18" Type="http://schemas.openxmlformats.org/officeDocument/2006/relationships/hyperlink" Target="https://likumi.lv/ta/id/194597-publiskas-un-privatas-partneribas-likums" TargetMode="External"/><Relationship Id="rId3" Type="http://schemas.openxmlformats.org/officeDocument/2006/relationships/numbering" Target="numbering.xml"/><Relationship Id="rId21" Type="http://schemas.openxmlformats.org/officeDocument/2006/relationships/hyperlink" Target="mailto:vni@vni.lv" TargetMode="External"/><Relationship Id="rId7" Type="http://schemas.openxmlformats.org/officeDocument/2006/relationships/footnotes" Target="footnotes.xml"/><Relationship Id="rId12" Type="http://schemas.openxmlformats.org/officeDocument/2006/relationships/hyperlink" Target="https://tapportals.mk.gov.lv/meetings/protocols/ef74e09f-d3a5-43ae-8bcf-776c1f48cb49" TargetMode="External"/><Relationship Id="rId17" Type="http://schemas.openxmlformats.org/officeDocument/2006/relationships/hyperlink" Target="https://likumi.lv/ta/id/194597-publiskas-un-privatas-partneribas-likums" TargetMode="External"/><Relationship Id="rId2" Type="http://schemas.openxmlformats.org/officeDocument/2006/relationships/customXml" Target="../customXml/item2.xml"/><Relationship Id="rId16" Type="http://schemas.openxmlformats.org/officeDocument/2006/relationships/hyperlink" Target="https://likumi.lv/ta/id/194597-publiskas-un-privatas-partneribas-likums" TargetMode="External"/><Relationship Id="rId20" Type="http://schemas.openxmlformats.org/officeDocument/2006/relationships/hyperlink" Target="mailto:vadibasgrupa.ppp@vni.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pportals.mk.gov.lv/meetings/protocols/ef74e09f-d3a5-43ae-8bcf-776c1f48cb4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kumi.lv/ta/id/194597-publiskas-un-privatas-partneribas-likums" TargetMode="External"/><Relationship Id="rId23" Type="http://schemas.openxmlformats.org/officeDocument/2006/relationships/fontTable" Target="fontTable.xml"/><Relationship Id="rId10" Type="http://schemas.openxmlformats.org/officeDocument/2006/relationships/hyperlink" Target="https://tapportals.mk.gov.lv/legal_acts/c2bcac5f-e77f-4d99-acc8-ed07ed1c510a" TargetMode="External"/><Relationship Id="rId19" Type="http://schemas.openxmlformats.org/officeDocument/2006/relationships/hyperlink" Target="https://likumi.lv/ta/id/194597-publiskas-un-privatas-partneribas-likums" TargetMode="External"/><Relationship Id="rId4" Type="http://schemas.openxmlformats.org/officeDocument/2006/relationships/styles" Target="styles.xml"/><Relationship Id="rId9" Type="http://schemas.openxmlformats.org/officeDocument/2006/relationships/hyperlink" Target="https://likumi.lv/ta/id/347211-par-majoklu-pieejamibas-pamatnostadnem-2023-2027-gadam" TargetMode="External"/><Relationship Id="rId14" Type="http://schemas.openxmlformats.org/officeDocument/2006/relationships/hyperlink" Target="https://likumi.lv/ta/id/194597-publiskas-un-privatas-partneribas-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A6E0A5577AAB64BBC02552CE6366509" ma:contentTypeVersion="22" ma:contentTypeDescription="Izveidot jaunu dokumentu." ma:contentTypeScope="" ma:versionID="bdc04d873284590c2a6bcea706fe8627">
  <xsd:schema xmlns:xsd="http://www.w3.org/2001/XMLSchema" xmlns:xs="http://www.w3.org/2001/XMLSchema" xmlns:p="http://schemas.microsoft.com/office/2006/metadata/properties" xmlns:ns1="http://schemas.microsoft.com/sharepoint/v3" xmlns:ns2="1bc3c780-2bb1-47eb-9d86-5e03f4973a45" xmlns:ns3="a69edea8-00eb-4580-9f73-f1910d8c677f" xmlns:ns4="d73c6baf-9cf2-4cf2-a117-76c67141543a" targetNamespace="http://schemas.microsoft.com/office/2006/metadata/properties" ma:root="true" ma:fieldsID="291a73088156e54fda5d933959aab146" ns1:_="" ns2:_="" ns3:_="" ns4:_="">
    <xsd:import namespace="http://schemas.microsoft.com/sharepoint/v3"/>
    <xsd:import namespace="1bc3c780-2bb1-47eb-9d86-5e03f4973a45"/>
    <xsd:import namespace="a69edea8-00eb-4580-9f73-f1910d8c677f"/>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3c780-2bb1-47eb-9d86-5e03f497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edea8-00eb-4580-9f73-f1910d8c677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cba5719-2e4d-4aeb-84b2-55182196a006}"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BF830-D88B-493D-892D-2078EC550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3c780-2bb1-47eb-9d86-5e03f4973a45"/>
    <ds:schemaRef ds:uri="a69edea8-00eb-4580-9f73-f1910d8c677f"/>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9BFC-0AFF-4B50-8B7D-BF0753D18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5215</Words>
  <Characters>2973</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Valsts nekustamie ipasumi</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2024-09-13T06:19:00Z</dcterms:created>
  <dcterms:modified xsi:type="dcterms:W3CDTF">2024-09-26T08:41:00Z</dcterms:modified>
</cp:coreProperties>
</file>