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3993" w14:textId="0BAE8E22" w:rsidR="00545A3C" w:rsidRPr="000A34F9" w:rsidRDefault="00545A3C" w:rsidP="00545A3C">
      <w:pPr>
        <w:pStyle w:val="Nosaukums"/>
        <w:rPr>
          <w:b/>
          <w:caps/>
          <w:sz w:val="24"/>
          <w:szCs w:val="24"/>
        </w:rPr>
      </w:pPr>
      <w:r>
        <w:rPr>
          <w:b/>
          <w:bCs/>
          <w:caps/>
          <w:sz w:val="24"/>
          <w:szCs w:val="24"/>
        </w:rPr>
        <w:t xml:space="preserve">dzīvokļa īpašuma </w:t>
      </w:r>
      <w:r w:rsidR="00113003">
        <w:rPr>
          <w:b/>
          <w:bCs/>
          <w:caps/>
          <w:sz w:val="24"/>
          <w:szCs w:val="24"/>
        </w:rPr>
        <w:t>sliežu ielā 1-15</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Nosaukums"/>
        <w:rPr>
          <w:b/>
          <w:sz w:val="24"/>
        </w:rPr>
      </w:pPr>
    </w:p>
    <w:p w14:paraId="4C571D3A" w14:textId="77777777" w:rsidR="00545A3C" w:rsidRPr="008D7455" w:rsidRDefault="00545A3C" w:rsidP="00545A3C">
      <w:pPr>
        <w:pStyle w:val="Nosaukums"/>
        <w:numPr>
          <w:ilvl w:val="0"/>
          <w:numId w:val="7"/>
        </w:numPr>
        <w:ind w:left="284" w:hanging="284"/>
        <w:jc w:val="both"/>
        <w:rPr>
          <w:b/>
          <w:sz w:val="24"/>
          <w:szCs w:val="24"/>
        </w:rPr>
      </w:pPr>
      <w:r w:rsidRPr="008D7455">
        <w:rPr>
          <w:b/>
          <w:sz w:val="24"/>
          <w:szCs w:val="24"/>
        </w:rPr>
        <w:t>Vispārīgais jautājums</w:t>
      </w:r>
    </w:p>
    <w:p w14:paraId="4509146F" w14:textId="693DB448" w:rsidR="00545A3C" w:rsidRPr="008D7455" w:rsidRDefault="00545A3C" w:rsidP="00545A3C">
      <w:pPr>
        <w:pStyle w:val="Nosaukums"/>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113003">
        <w:rPr>
          <w:bCs/>
          <w:sz w:val="24"/>
          <w:szCs w:val="24"/>
        </w:rPr>
        <w:t xml:space="preserve">kadastra numuru </w:t>
      </w:r>
      <w:r w:rsidR="00113003" w:rsidRPr="00113003">
        <w:rPr>
          <w:bCs/>
          <w:sz w:val="24"/>
          <w:szCs w:val="24"/>
        </w:rPr>
        <w:t>09009029451 Sliežu ielā 1-15</w:t>
      </w:r>
      <w:r w:rsidRPr="00113003">
        <w:rPr>
          <w:sz w:val="24"/>
          <w:szCs w:val="24"/>
        </w:rPr>
        <w:t xml:space="preserve">, </w:t>
      </w:r>
      <w:r w:rsidRPr="00113003">
        <w:rPr>
          <w:bCs/>
          <w:sz w:val="24"/>
          <w:szCs w:val="24"/>
        </w:rPr>
        <w:t>Jelgavā</w:t>
      </w:r>
      <w:r w:rsidRPr="00113003">
        <w:rPr>
          <w:sz w:val="24"/>
          <w:szCs w:val="24"/>
        </w:rPr>
        <w:t xml:space="preserve"> (turpmāk - Dzīvokļa</w:t>
      </w:r>
      <w:r w:rsidRPr="00F10225">
        <w:rPr>
          <w:sz w:val="24"/>
          <w:szCs w:val="24"/>
        </w:rPr>
        <w:t xml:space="preserve"> īpašums),</w:t>
      </w:r>
      <w:r w:rsidRPr="008D7455">
        <w:rPr>
          <w:sz w:val="24"/>
          <w:szCs w:val="24"/>
        </w:rPr>
        <w:t xml:space="preserve"> saskaņā ar Publiskas personas mantas atsavināšanas likumu un Civillikumu.</w:t>
      </w:r>
    </w:p>
    <w:p w14:paraId="0861C26A" w14:textId="77777777" w:rsidR="00545A3C" w:rsidRPr="008D7455" w:rsidRDefault="00545A3C" w:rsidP="00545A3C">
      <w:pPr>
        <w:pStyle w:val="Nosaukums"/>
        <w:jc w:val="both"/>
        <w:rPr>
          <w:sz w:val="24"/>
          <w:szCs w:val="24"/>
        </w:rPr>
      </w:pPr>
      <w:r w:rsidRPr="008D7455">
        <w:rPr>
          <w:sz w:val="24"/>
          <w:szCs w:val="24"/>
        </w:rPr>
        <w:t xml:space="preserve"> </w:t>
      </w:r>
    </w:p>
    <w:p w14:paraId="296C190D" w14:textId="77777777" w:rsidR="00545A3C" w:rsidRPr="002A3229" w:rsidRDefault="00545A3C" w:rsidP="00545A3C">
      <w:pPr>
        <w:pStyle w:val="Nosaukums"/>
        <w:numPr>
          <w:ilvl w:val="0"/>
          <w:numId w:val="7"/>
        </w:numPr>
        <w:ind w:left="284" w:hanging="284"/>
        <w:jc w:val="both"/>
        <w:rPr>
          <w:b/>
          <w:sz w:val="24"/>
          <w:szCs w:val="24"/>
        </w:rPr>
      </w:pPr>
      <w:r w:rsidRPr="002A3229">
        <w:rPr>
          <w:b/>
          <w:sz w:val="24"/>
          <w:szCs w:val="24"/>
        </w:rPr>
        <w:t xml:space="preserve">Dzīvokļa īpašuma raksturojums </w:t>
      </w:r>
    </w:p>
    <w:p w14:paraId="6B11F7E2" w14:textId="32D1880D" w:rsidR="00DA6473" w:rsidRPr="00113003" w:rsidRDefault="00545A3C" w:rsidP="008E07A6">
      <w:pPr>
        <w:pStyle w:val="Nosaukums"/>
        <w:ind w:left="567"/>
        <w:jc w:val="both"/>
        <w:rPr>
          <w:sz w:val="24"/>
          <w:szCs w:val="24"/>
        </w:rPr>
      </w:pPr>
      <w:r w:rsidRPr="00113003">
        <w:rPr>
          <w:sz w:val="24"/>
          <w:szCs w:val="24"/>
        </w:rPr>
        <w:t xml:space="preserve">Dzīvokļa īpašums sastāv no </w:t>
      </w:r>
      <w:r w:rsidRPr="00113003">
        <w:rPr>
          <w:bCs/>
          <w:sz w:val="24"/>
          <w:szCs w:val="24"/>
        </w:rPr>
        <w:t xml:space="preserve">dzīvokļa </w:t>
      </w:r>
      <w:r w:rsidR="00113003" w:rsidRPr="00113003">
        <w:rPr>
          <w:bCs/>
          <w:sz w:val="24"/>
          <w:szCs w:val="24"/>
        </w:rPr>
        <w:t>09009029451 Sliežu ielā 1-15</w:t>
      </w:r>
      <w:r w:rsidR="00E53D1D" w:rsidRPr="00113003">
        <w:rPr>
          <w:bCs/>
          <w:sz w:val="24"/>
          <w:szCs w:val="24"/>
        </w:rPr>
        <w:t xml:space="preserve">, Jelgavā, kas sastāv no dzīvokļa </w:t>
      </w:r>
      <w:r w:rsidR="00113003" w:rsidRPr="00113003">
        <w:rPr>
          <w:bCs/>
          <w:sz w:val="24"/>
          <w:szCs w:val="24"/>
        </w:rPr>
        <w:t>Nr. 15 (telpu grupas kadastra apzīmējumiem 09000060060001015 un 09000060060001016, divas istabas, krāsns apkure, kopējā platība 32,9 m</w:t>
      </w:r>
      <w:r w:rsidR="00113003" w:rsidRPr="00113003">
        <w:rPr>
          <w:bCs/>
          <w:sz w:val="24"/>
          <w:szCs w:val="24"/>
          <w:vertAlign w:val="superscript"/>
        </w:rPr>
        <w:t>2</w:t>
      </w:r>
      <w:r w:rsidR="00113003" w:rsidRPr="00113003">
        <w:rPr>
          <w:bCs/>
          <w:sz w:val="24"/>
          <w:szCs w:val="24"/>
        </w:rPr>
        <w:t>) un tam piekrītošajām kopīpašuma 293/1385 domājamām daļām no būves (kadastra apzīmējums 09000060060001) un zemes (kadastra apzīmējums 09000060060)</w:t>
      </w:r>
      <w:r w:rsidRPr="00113003">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Īpašuma tiesības</w:t>
      </w:r>
    </w:p>
    <w:p w14:paraId="2B818B15" w14:textId="75520111" w:rsidR="00545A3C" w:rsidRPr="002A3229" w:rsidRDefault="00545A3C" w:rsidP="00545A3C">
      <w:pPr>
        <w:pStyle w:val="Nosaukums"/>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w:t>
      </w:r>
      <w:r w:rsidRPr="002A3229">
        <w:rPr>
          <w:bCs/>
          <w:sz w:val="24"/>
          <w:szCs w:val="24"/>
        </w:rPr>
        <w:t xml:space="preserve">(turpmāk - Zemesgrāmata) nodalījumā Nr. </w:t>
      </w:r>
      <w:r w:rsidR="00113003">
        <w:rPr>
          <w:bCs/>
          <w:sz w:val="24"/>
          <w:szCs w:val="24"/>
        </w:rPr>
        <w:t>2392-15</w:t>
      </w:r>
      <w:r w:rsidR="002A3229" w:rsidRPr="002A3229">
        <w:rPr>
          <w:bCs/>
          <w:sz w:val="24"/>
          <w:szCs w:val="24"/>
        </w:rPr>
        <w:t xml:space="preserve"> </w:t>
      </w:r>
      <w:r w:rsidRPr="002A3229">
        <w:rPr>
          <w:bCs/>
          <w:sz w:val="24"/>
          <w:szCs w:val="24"/>
        </w:rPr>
        <w:t>uz Pašvaldības vārda.</w:t>
      </w:r>
    </w:p>
    <w:p w14:paraId="23C170FC" w14:textId="77777777" w:rsidR="00545A3C" w:rsidRPr="009331EE" w:rsidRDefault="00545A3C" w:rsidP="00545A3C">
      <w:pPr>
        <w:pStyle w:val="Nosaukums"/>
        <w:ind w:left="928"/>
        <w:jc w:val="both"/>
        <w:rPr>
          <w:sz w:val="24"/>
          <w:szCs w:val="24"/>
        </w:rPr>
      </w:pPr>
    </w:p>
    <w:p w14:paraId="4F182A8B"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E53D1D" w:rsidRDefault="00545A3C" w:rsidP="00545A3C">
      <w:pPr>
        <w:pStyle w:val="Nosaukums"/>
        <w:numPr>
          <w:ilvl w:val="1"/>
          <w:numId w:val="7"/>
        </w:numPr>
        <w:ind w:left="567" w:hanging="567"/>
        <w:jc w:val="both"/>
        <w:rPr>
          <w:sz w:val="24"/>
          <w:szCs w:val="24"/>
        </w:rPr>
      </w:pPr>
      <w:r w:rsidRPr="00E53D1D">
        <w:rPr>
          <w:sz w:val="24"/>
          <w:szCs w:val="24"/>
        </w:rPr>
        <w:t xml:space="preserve">Atsavināšanas veids - pārdošana </w:t>
      </w:r>
      <w:r w:rsidRPr="00E53D1D">
        <w:rPr>
          <w:bCs/>
          <w:sz w:val="24"/>
          <w:szCs w:val="24"/>
        </w:rPr>
        <w:t>mutiskā izsolē ar augšupejošu soli</w:t>
      </w:r>
      <w:r w:rsidRPr="00E53D1D">
        <w:rPr>
          <w:sz w:val="24"/>
          <w:szCs w:val="24"/>
        </w:rPr>
        <w:t>.</w:t>
      </w:r>
      <w:r w:rsidRPr="00E53D1D">
        <w:rPr>
          <w:bCs/>
          <w:sz w:val="24"/>
          <w:szCs w:val="24"/>
        </w:rPr>
        <w:t xml:space="preserve"> </w:t>
      </w:r>
    </w:p>
    <w:p w14:paraId="3F020F72" w14:textId="5A06B1C4" w:rsidR="00545A3C" w:rsidRPr="00113003" w:rsidRDefault="00545A3C" w:rsidP="00545A3C">
      <w:pPr>
        <w:pStyle w:val="Nosaukums"/>
        <w:numPr>
          <w:ilvl w:val="1"/>
          <w:numId w:val="7"/>
        </w:numPr>
        <w:ind w:left="567" w:hanging="567"/>
        <w:jc w:val="both"/>
        <w:rPr>
          <w:sz w:val="24"/>
          <w:szCs w:val="24"/>
        </w:rPr>
      </w:pPr>
      <w:r w:rsidRPr="00113003">
        <w:rPr>
          <w:sz w:val="24"/>
          <w:szCs w:val="24"/>
        </w:rPr>
        <w:t xml:space="preserve">Izsoles sākumcena (turpmāk-Sākumcena) </w:t>
      </w:r>
      <w:r w:rsidR="00113003" w:rsidRPr="00113003">
        <w:rPr>
          <w:sz w:val="24"/>
          <w:szCs w:val="24"/>
        </w:rPr>
        <w:t xml:space="preserve">7300,00 </w:t>
      </w:r>
      <w:proofErr w:type="spellStart"/>
      <w:r w:rsidR="00113003" w:rsidRPr="00113003">
        <w:rPr>
          <w:i/>
          <w:sz w:val="24"/>
          <w:szCs w:val="24"/>
        </w:rPr>
        <w:t>euro</w:t>
      </w:r>
      <w:proofErr w:type="spellEnd"/>
      <w:r w:rsidR="00113003" w:rsidRPr="00113003">
        <w:rPr>
          <w:sz w:val="24"/>
          <w:szCs w:val="24"/>
        </w:rPr>
        <w:t xml:space="preserve"> (septiņi tūkstoši trīs simti </w:t>
      </w:r>
      <w:proofErr w:type="spellStart"/>
      <w:r w:rsidR="00113003" w:rsidRPr="00113003">
        <w:rPr>
          <w:i/>
          <w:sz w:val="24"/>
          <w:szCs w:val="24"/>
        </w:rPr>
        <w:t>euro</w:t>
      </w:r>
      <w:proofErr w:type="spellEnd"/>
      <w:r w:rsidR="00113003" w:rsidRPr="00113003">
        <w:rPr>
          <w:sz w:val="24"/>
          <w:szCs w:val="24"/>
        </w:rPr>
        <w:t>, 00 centi)</w:t>
      </w:r>
      <w:r w:rsidRPr="00113003">
        <w:rPr>
          <w:bCs/>
          <w:sz w:val="24"/>
          <w:szCs w:val="24"/>
        </w:rPr>
        <w:t>.</w:t>
      </w:r>
    </w:p>
    <w:p w14:paraId="4D17683F" w14:textId="77777777" w:rsidR="00545A3C" w:rsidRPr="00113003" w:rsidRDefault="00545A3C" w:rsidP="00545A3C">
      <w:pPr>
        <w:pStyle w:val="Nosaukums"/>
        <w:numPr>
          <w:ilvl w:val="1"/>
          <w:numId w:val="7"/>
        </w:numPr>
        <w:ind w:left="567" w:hanging="567"/>
        <w:jc w:val="both"/>
        <w:rPr>
          <w:sz w:val="24"/>
          <w:szCs w:val="24"/>
        </w:rPr>
      </w:pPr>
      <w:r w:rsidRPr="00113003">
        <w:rPr>
          <w:sz w:val="24"/>
          <w:szCs w:val="24"/>
        </w:rPr>
        <w:t xml:space="preserve">Izsoles solis 100,00 </w:t>
      </w:r>
      <w:proofErr w:type="spellStart"/>
      <w:r w:rsidRPr="00113003">
        <w:rPr>
          <w:i/>
          <w:sz w:val="24"/>
          <w:szCs w:val="24"/>
        </w:rPr>
        <w:t>euro</w:t>
      </w:r>
      <w:proofErr w:type="spellEnd"/>
      <w:r w:rsidRPr="00113003">
        <w:rPr>
          <w:sz w:val="24"/>
          <w:szCs w:val="24"/>
        </w:rPr>
        <w:t xml:space="preserve"> (viens simts </w:t>
      </w:r>
      <w:proofErr w:type="spellStart"/>
      <w:r w:rsidRPr="00113003">
        <w:rPr>
          <w:i/>
          <w:sz w:val="24"/>
          <w:szCs w:val="24"/>
        </w:rPr>
        <w:t>euro</w:t>
      </w:r>
      <w:proofErr w:type="spellEnd"/>
      <w:r w:rsidRPr="00113003">
        <w:rPr>
          <w:sz w:val="24"/>
          <w:szCs w:val="24"/>
        </w:rPr>
        <w:t>, 00 centi).</w:t>
      </w:r>
    </w:p>
    <w:p w14:paraId="16071EF1" w14:textId="1D9FBC6B" w:rsidR="00545A3C" w:rsidRPr="00113003" w:rsidRDefault="00545A3C" w:rsidP="00545A3C">
      <w:pPr>
        <w:pStyle w:val="Nosaukums"/>
        <w:numPr>
          <w:ilvl w:val="1"/>
          <w:numId w:val="7"/>
        </w:numPr>
        <w:ind w:left="567" w:hanging="567"/>
        <w:jc w:val="both"/>
        <w:rPr>
          <w:sz w:val="24"/>
          <w:szCs w:val="24"/>
        </w:rPr>
      </w:pPr>
      <w:r w:rsidRPr="00113003">
        <w:rPr>
          <w:sz w:val="24"/>
          <w:szCs w:val="24"/>
        </w:rPr>
        <w:t xml:space="preserve">Pirkuma nodrošinājums </w:t>
      </w:r>
      <w:r w:rsidR="00113003" w:rsidRPr="00113003">
        <w:rPr>
          <w:sz w:val="24"/>
          <w:szCs w:val="24"/>
        </w:rPr>
        <w:t xml:space="preserve">730,00 </w:t>
      </w:r>
      <w:proofErr w:type="spellStart"/>
      <w:r w:rsidR="00113003" w:rsidRPr="00113003">
        <w:rPr>
          <w:i/>
          <w:sz w:val="24"/>
          <w:szCs w:val="24"/>
        </w:rPr>
        <w:t>euro</w:t>
      </w:r>
      <w:proofErr w:type="spellEnd"/>
      <w:r w:rsidR="00113003" w:rsidRPr="00113003">
        <w:rPr>
          <w:i/>
          <w:sz w:val="24"/>
          <w:szCs w:val="24"/>
        </w:rPr>
        <w:t xml:space="preserve"> </w:t>
      </w:r>
      <w:r w:rsidR="00113003" w:rsidRPr="00113003">
        <w:rPr>
          <w:sz w:val="24"/>
          <w:szCs w:val="24"/>
        </w:rPr>
        <w:t xml:space="preserve">(septiņi simti trīsdesmit </w:t>
      </w:r>
      <w:proofErr w:type="spellStart"/>
      <w:r w:rsidR="00113003" w:rsidRPr="00113003">
        <w:rPr>
          <w:i/>
          <w:sz w:val="24"/>
          <w:szCs w:val="24"/>
        </w:rPr>
        <w:t>euro</w:t>
      </w:r>
      <w:proofErr w:type="spellEnd"/>
      <w:r w:rsidR="00113003" w:rsidRPr="00113003">
        <w:rPr>
          <w:sz w:val="24"/>
          <w:szCs w:val="24"/>
        </w:rPr>
        <w:t>, 00 centi)</w:t>
      </w:r>
      <w:r w:rsidRPr="00113003">
        <w:rPr>
          <w:sz w:val="24"/>
          <w:szCs w:val="24"/>
        </w:rPr>
        <w:t>.</w:t>
      </w:r>
    </w:p>
    <w:p w14:paraId="2A3AC62A" w14:textId="77777777" w:rsidR="00545A3C" w:rsidRPr="0052632A" w:rsidRDefault="00545A3C" w:rsidP="00545A3C">
      <w:pPr>
        <w:pStyle w:val="Nosaukums"/>
        <w:numPr>
          <w:ilvl w:val="1"/>
          <w:numId w:val="7"/>
        </w:numPr>
        <w:ind w:left="567" w:hanging="567"/>
        <w:jc w:val="both"/>
        <w:rPr>
          <w:sz w:val="24"/>
          <w:szCs w:val="24"/>
        </w:rPr>
      </w:pPr>
      <w:r w:rsidRPr="0052632A">
        <w:rPr>
          <w:sz w:val="24"/>
          <w:szCs w:val="24"/>
        </w:rPr>
        <w:t xml:space="preserve">Reģistrācijas maksa 50,00 </w:t>
      </w:r>
      <w:proofErr w:type="spellStart"/>
      <w:r w:rsidRPr="0052632A">
        <w:rPr>
          <w:i/>
          <w:sz w:val="24"/>
          <w:szCs w:val="24"/>
        </w:rPr>
        <w:t>euro</w:t>
      </w:r>
      <w:proofErr w:type="spellEnd"/>
      <w:r w:rsidRPr="0052632A">
        <w:rPr>
          <w:i/>
          <w:sz w:val="24"/>
          <w:szCs w:val="24"/>
        </w:rPr>
        <w:t xml:space="preserve"> </w:t>
      </w:r>
      <w:r w:rsidRPr="0052632A">
        <w:rPr>
          <w:sz w:val="24"/>
          <w:szCs w:val="24"/>
        </w:rPr>
        <w:t xml:space="preserve">(piecdesmit </w:t>
      </w:r>
      <w:proofErr w:type="spellStart"/>
      <w:r w:rsidRPr="0052632A">
        <w:rPr>
          <w:i/>
          <w:sz w:val="24"/>
          <w:szCs w:val="24"/>
        </w:rPr>
        <w:t>euro</w:t>
      </w:r>
      <w:proofErr w:type="spellEnd"/>
      <w:r w:rsidRPr="0052632A">
        <w:rPr>
          <w:sz w:val="24"/>
          <w:szCs w:val="24"/>
        </w:rPr>
        <w:t>, 00 centi).</w:t>
      </w:r>
    </w:p>
    <w:p w14:paraId="2BD0FF18" w14:textId="77777777" w:rsidR="00545A3C" w:rsidRPr="00F81365" w:rsidRDefault="00545A3C" w:rsidP="00545A3C">
      <w:pPr>
        <w:pStyle w:val="Nosaukums"/>
        <w:numPr>
          <w:ilvl w:val="1"/>
          <w:numId w:val="7"/>
        </w:numPr>
        <w:ind w:left="567" w:hanging="567"/>
        <w:jc w:val="both"/>
        <w:rPr>
          <w:sz w:val="24"/>
          <w:szCs w:val="24"/>
        </w:rPr>
      </w:pPr>
      <w:r w:rsidRPr="0052632A">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3D53591" w14:textId="77777777" w:rsidR="00DA6473" w:rsidRPr="000A34F9" w:rsidRDefault="00DA6473"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465FAD0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0AEF819A" w14:textId="77777777" w:rsidR="00CE3BB2" w:rsidRDefault="00CE3BB2" w:rsidP="00545A3C">
      <w:pPr>
        <w:pStyle w:val="Nosaukums"/>
        <w:jc w:val="both"/>
        <w:rPr>
          <w:sz w:val="24"/>
        </w:rPr>
      </w:pPr>
    </w:p>
    <w:p w14:paraId="65D93F1D" w14:textId="77777777" w:rsidR="00CE3BB2" w:rsidRDefault="00CE3BB2" w:rsidP="00545A3C">
      <w:pPr>
        <w:pStyle w:val="Nosaukums"/>
        <w:jc w:val="both"/>
        <w:rPr>
          <w:sz w:val="24"/>
        </w:rPr>
      </w:pPr>
    </w:p>
    <w:p w14:paraId="5A9C6CE1" w14:textId="77777777" w:rsidR="00CE3BB2" w:rsidRPr="000A34F9" w:rsidRDefault="00CE3BB2"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lastRenderedPageBreak/>
        <w:t xml:space="preserve">Pieteikšanās termiņš </w:t>
      </w:r>
      <w:r>
        <w:rPr>
          <w:b/>
          <w:sz w:val="24"/>
        </w:rPr>
        <w:t xml:space="preserve">un </w:t>
      </w:r>
      <w:r w:rsidRPr="0019095E">
        <w:rPr>
          <w:b/>
          <w:sz w:val="24"/>
        </w:rPr>
        <w:t>Pretendentu reģistrācijas kārtība</w:t>
      </w:r>
    </w:p>
    <w:p w14:paraId="01BA554F" w14:textId="3C00AD6D"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52632A" w:rsidRPr="00B5419B">
        <w:rPr>
          <w:b/>
          <w:sz w:val="24"/>
          <w:szCs w:val="24"/>
        </w:rPr>
        <w:t>līdz 202</w:t>
      </w:r>
      <w:r w:rsidR="0052632A">
        <w:rPr>
          <w:b/>
          <w:sz w:val="24"/>
          <w:szCs w:val="24"/>
        </w:rPr>
        <w:t>5</w:t>
      </w:r>
      <w:r w:rsidR="0052632A" w:rsidRPr="00B5419B">
        <w:rPr>
          <w:b/>
          <w:sz w:val="24"/>
          <w:szCs w:val="24"/>
        </w:rPr>
        <w:t xml:space="preserve">. gada </w:t>
      </w:r>
      <w:r w:rsidR="00B555B3">
        <w:rPr>
          <w:b/>
          <w:sz w:val="24"/>
          <w:szCs w:val="24"/>
        </w:rPr>
        <w:t>26</w:t>
      </w:r>
      <w:r w:rsidR="0052632A" w:rsidRPr="00B5419B">
        <w:rPr>
          <w:b/>
          <w:sz w:val="24"/>
          <w:szCs w:val="24"/>
        </w:rPr>
        <w:t xml:space="preserve">. </w:t>
      </w:r>
      <w:r w:rsidR="00B555B3">
        <w:rPr>
          <w:b/>
          <w:sz w:val="24"/>
          <w:szCs w:val="24"/>
        </w:rPr>
        <w:t>jūnijam</w:t>
      </w:r>
      <w:r w:rsidR="0052632A" w:rsidRPr="00B5419B">
        <w:rPr>
          <w:b/>
          <w:sz w:val="24"/>
          <w:szCs w:val="24"/>
        </w:rPr>
        <w:t xml:space="preserve"> plkst.</w:t>
      </w:r>
      <w:r w:rsidR="00B555B3">
        <w:rPr>
          <w:b/>
          <w:sz w:val="24"/>
          <w:szCs w:val="24"/>
        </w:rPr>
        <w:t xml:space="preserve"> </w:t>
      </w:r>
      <w:r w:rsidR="0052632A" w:rsidRPr="00B5419B">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3E276D78"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113003" w:rsidRPr="00113003">
        <w:rPr>
          <w:sz w:val="24"/>
          <w:szCs w:val="24"/>
        </w:rPr>
        <w:t xml:space="preserve">730,00 </w:t>
      </w:r>
      <w:proofErr w:type="spellStart"/>
      <w:r w:rsidR="00113003" w:rsidRPr="00113003">
        <w:rPr>
          <w:i/>
          <w:sz w:val="24"/>
          <w:szCs w:val="24"/>
        </w:rPr>
        <w:t>euro</w:t>
      </w:r>
      <w:proofErr w:type="spellEnd"/>
      <w:r w:rsidR="00113003" w:rsidRPr="00113003">
        <w:rPr>
          <w:i/>
          <w:sz w:val="24"/>
          <w:szCs w:val="24"/>
        </w:rPr>
        <w:t xml:space="preserve"> </w:t>
      </w:r>
      <w:r w:rsidR="00113003" w:rsidRPr="00113003">
        <w:rPr>
          <w:sz w:val="24"/>
          <w:szCs w:val="24"/>
        </w:rPr>
        <w:t xml:space="preserve">(septiņi simti trīsdesmit </w:t>
      </w:r>
      <w:proofErr w:type="spellStart"/>
      <w:r w:rsidR="00113003" w:rsidRPr="00113003">
        <w:rPr>
          <w:i/>
          <w:sz w:val="24"/>
          <w:szCs w:val="24"/>
        </w:rPr>
        <w:t>euro</w:t>
      </w:r>
      <w:proofErr w:type="spellEnd"/>
      <w:r w:rsidR="00113003" w:rsidRPr="00113003">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113003" w:rsidRPr="00113003">
        <w:rPr>
          <w:bCs/>
          <w:sz w:val="24"/>
          <w:szCs w:val="24"/>
        </w:rPr>
        <w:t>Sliežu ielā 1-15</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1039D227" w:rsidR="00D64602" w:rsidRPr="00A12F2B" w:rsidRDefault="00545A3C" w:rsidP="00D64602">
      <w:pPr>
        <w:pStyle w:val="Nosaukums"/>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0052632A" w:rsidRPr="00B5419B">
        <w:rPr>
          <w:b/>
          <w:sz w:val="24"/>
          <w:szCs w:val="24"/>
        </w:rPr>
        <w:t>līdz 202</w:t>
      </w:r>
      <w:r w:rsidR="0052632A">
        <w:rPr>
          <w:b/>
          <w:sz w:val="24"/>
          <w:szCs w:val="24"/>
        </w:rPr>
        <w:t>5</w:t>
      </w:r>
      <w:r w:rsidR="0052632A" w:rsidRPr="00B5419B">
        <w:rPr>
          <w:b/>
          <w:sz w:val="24"/>
          <w:szCs w:val="24"/>
        </w:rPr>
        <w:t xml:space="preserve">. gada </w:t>
      </w:r>
      <w:r w:rsidR="00B555B3">
        <w:rPr>
          <w:b/>
          <w:sz w:val="24"/>
          <w:szCs w:val="24"/>
        </w:rPr>
        <w:t>27</w:t>
      </w:r>
      <w:r w:rsidR="0052632A" w:rsidRPr="00B5419B">
        <w:rPr>
          <w:b/>
          <w:sz w:val="24"/>
          <w:szCs w:val="24"/>
        </w:rPr>
        <w:t xml:space="preserve">. </w:t>
      </w:r>
      <w:r w:rsidR="00B555B3">
        <w:rPr>
          <w:b/>
          <w:sz w:val="24"/>
          <w:szCs w:val="24"/>
        </w:rPr>
        <w:t>jūnijam</w:t>
      </w:r>
      <w:r w:rsidR="0052632A" w:rsidRPr="00B5419B">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lastRenderedPageBreak/>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0434871D"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52632A" w:rsidRPr="00B5419B">
        <w:rPr>
          <w:b/>
          <w:sz w:val="24"/>
          <w:szCs w:val="24"/>
        </w:rPr>
        <w:t>202</w:t>
      </w:r>
      <w:r w:rsidR="0052632A">
        <w:rPr>
          <w:b/>
          <w:sz w:val="24"/>
          <w:szCs w:val="24"/>
        </w:rPr>
        <w:t>5</w:t>
      </w:r>
      <w:r w:rsidR="0052632A" w:rsidRPr="00B5419B">
        <w:rPr>
          <w:b/>
          <w:sz w:val="24"/>
          <w:szCs w:val="24"/>
        </w:rPr>
        <w:t xml:space="preserve">. gada </w:t>
      </w:r>
      <w:r w:rsidR="00B555B3">
        <w:rPr>
          <w:b/>
          <w:sz w:val="24"/>
          <w:szCs w:val="24"/>
        </w:rPr>
        <w:t>30</w:t>
      </w:r>
      <w:r w:rsidR="0052632A" w:rsidRPr="00B5419B">
        <w:rPr>
          <w:b/>
          <w:sz w:val="24"/>
          <w:szCs w:val="24"/>
        </w:rPr>
        <w:t xml:space="preserve">. </w:t>
      </w:r>
      <w:r w:rsidR="00B555B3">
        <w:rPr>
          <w:b/>
          <w:sz w:val="24"/>
          <w:szCs w:val="24"/>
        </w:rPr>
        <w:t>jūnijā</w:t>
      </w:r>
      <w:r w:rsidR="0052632A" w:rsidRPr="00B5419B">
        <w:rPr>
          <w:b/>
          <w:sz w:val="24"/>
          <w:szCs w:val="24"/>
        </w:rPr>
        <w:t xml:space="preserve"> plkst.1</w:t>
      </w:r>
      <w:r w:rsidR="00B555B3">
        <w:rPr>
          <w:b/>
          <w:sz w:val="24"/>
          <w:szCs w:val="24"/>
        </w:rPr>
        <w:t>6</w:t>
      </w:r>
      <w:r w:rsidR="0052632A" w:rsidRPr="00B5419B">
        <w:rPr>
          <w:b/>
          <w:sz w:val="24"/>
          <w:szCs w:val="24"/>
        </w:rPr>
        <w:t>.</w:t>
      </w:r>
      <w:r w:rsidR="00B555B3">
        <w:rPr>
          <w:b/>
          <w:sz w:val="24"/>
          <w:szCs w:val="24"/>
        </w:rPr>
        <w:t>30</w:t>
      </w:r>
      <w:r w:rsidR="0052632A" w:rsidRPr="00B5419B">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1BF9F348" w14:textId="77777777" w:rsidR="007C78AF" w:rsidRPr="000D11E5" w:rsidRDefault="007C78AF" w:rsidP="007C78AF">
      <w:pPr>
        <w:pStyle w:val="Nosaukums"/>
        <w:numPr>
          <w:ilvl w:val="1"/>
          <w:numId w:val="7"/>
        </w:numPr>
        <w:ind w:left="567" w:hanging="567"/>
        <w:jc w:val="both"/>
        <w:rPr>
          <w:sz w:val="24"/>
          <w:szCs w:val="24"/>
        </w:rPr>
      </w:pPr>
      <w:r w:rsidRPr="000D11E5">
        <w:rPr>
          <w:sz w:val="24"/>
          <w:szCs w:val="24"/>
        </w:rPr>
        <w:t>Ja noteiktajā laikā uz izsoli nav ieradušies visi reģistrētie Dalībnieki, izsoles vadītājs pārtrauc izsoli uz 15 (piecpadsmit) minūtēm un paziņo par to klātesošajiem Dalībniekiem, kā arī izdara atbilstošu atzīmi izsoles protokolā. Pēc 15 (piecpadsmit) minūtēm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046CC3B" w14:textId="77777777" w:rsidR="002E7BB6" w:rsidRPr="00E1426B" w:rsidRDefault="002E7BB6" w:rsidP="002E7BB6">
      <w:pPr>
        <w:pStyle w:val="Nosaukums"/>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7DC78CB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Nosaukums"/>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lastRenderedPageBreak/>
        <w:t>Pircējam ir tiesības nomaksāt visu Līgumcenu vai kādu tās daļu pirms Līguma Nomaksas grafikā noteiktā termiņa.</w:t>
      </w:r>
    </w:p>
    <w:p w14:paraId="118BB38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0" w:name="_Hlk178151563"/>
      <w:r w:rsidRPr="00DE671B">
        <w:rPr>
          <w:sz w:val="24"/>
          <w:szCs w:val="24"/>
          <w:lang w:val="lv-LV"/>
        </w:rPr>
        <w:t>Līgumcenas nenomaksātās daļas</w:t>
      </w:r>
      <w:bookmarkEnd w:id="0"/>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3B1A883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48791042" w14:textId="77777777" w:rsidR="00704F74" w:rsidRPr="000A34F9" w:rsidRDefault="00704F74"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0AFD46F2"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Izsole atzīstama par nenotikušu, ja Noteikumu </w:t>
      </w:r>
      <w:r w:rsidR="001F7066">
        <w:rPr>
          <w:sz w:val="24"/>
          <w:szCs w:val="24"/>
        </w:rPr>
        <w:t>7</w:t>
      </w:r>
      <w:r w:rsidRPr="000A34F9">
        <w:rPr>
          <w:sz w:val="24"/>
          <w:szCs w:val="24"/>
        </w:rPr>
        <w:t>.</w:t>
      </w:r>
      <w:r w:rsidR="00857AE8">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lastRenderedPageBreak/>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2574BAD8" w:rsidR="00545A3C" w:rsidRDefault="00545A3C" w:rsidP="00545A3C">
      <w:pPr>
        <w:pStyle w:val="Nosaukums"/>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Nosaukums"/>
        <w:jc w:val="both"/>
        <w:rPr>
          <w:sz w:val="24"/>
          <w:szCs w:val="24"/>
        </w:rPr>
      </w:pPr>
    </w:p>
    <w:sectPr w:rsidR="00545A3C" w:rsidSect="00472D3F">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9A01F" w14:textId="77777777" w:rsidR="005457CA" w:rsidRDefault="005457CA">
      <w:r>
        <w:separator/>
      </w:r>
    </w:p>
  </w:endnote>
  <w:endnote w:type="continuationSeparator" w:id="0">
    <w:p w14:paraId="1FEB38C5" w14:textId="77777777" w:rsidR="005457CA" w:rsidRDefault="0054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527CF968"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sidR="0056349D" w:rsidRPr="0056349D">
          <w:rPr>
            <w:noProof/>
            <w:lang w:val="lv-LV"/>
          </w:rPr>
          <w:t>7</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sidR="004C3DEF" w:rsidRPr="004C3DEF">
          <w:rPr>
            <w:noProof/>
            <w:lang w:val="lv-LV"/>
          </w:rPr>
          <w:t>1</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16B6D" w14:textId="77777777" w:rsidR="005457CA" w:rsidRDefault="005457CA">
      <w:r>
        <w:separator/>
      </w:r>
    </w:p>
  </w:footnote>
  <w:footnote w:type="continuationSeparator" w:id="0">
    <w:p w14:paraId="72F6DCE7" w14:textId="77777777" w:rsidR="005457CA" w:rsidRDefault="00545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9548195">
    <w:abstractNumId w:val="0"/>
  </w:num>
  <w:num w:numId="2" w16cid:durableId="742946728">
    <w:abstractNumId w:val="6"/>
  </w:num>
  <w:num w:numId="3" w16cid:durableId="451368043">
    <w:abstractNumId w:val="3"/>
  </w:num>
  <w:num w:numId="4" w16cid:durableId="26180046">
    <w:abstractNumId w:val="4"/>
  </w:num>
  <w:num w:numId="5" w16cid:durableId="1162165789">
    <w:abstractNumId w:val="5"/>
  </w:num>
  <w:num w:numId="6" w16cid:durableId="1930504789">
    <w:abstractNumId w:val="1"/>
  </w:num>
  <w:num w:numId="7" w16cid:durableId="230505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A42C6"/>
    <w:rsid w:val="000B7CEA"/>
    <w:rsid w:val="000D194B"/>
    <w:rsid w:val="000D28CE"/>
    <w:rsid w:val="000E01B4"/>
    <w:rsid w:val="000E4BE7"/>
    <w:rsid w:val="000E4F28"/>
    <w:rsid w:val="000F13B9"/>
    <w:rsid w:val="000F1691"/>
    <w:rsid w:val="000F493A"/>
    <w:rsid w:val="000F66EE"/>
    <w:rsid w:val="0011115F"/>
    <w:rsid w:val="00111BD8"/>
    <w:rsid w:val="00113003"/>
    <w:rsid w:val="001148A0"/>
    <w:rsid w:val="00116ADC"/>
    <w:rsid w:val="00123C55"/>
    <w:rsid w:val="00124FEB"/>
    <w:rsid w:val="00125A0B"/>
    <w:rsid w:val="00126D54"/>
    <w:rsid w:val="001473F1"/>
    <w:rsid w:val="00164EF0"/>
    <w:rsid w:val="001715F5"/>
    <w:rsid w:val="00181EDE"/>
    <w:rsid w:val="001A0558"/>
    <w:rsid w:val="001C761C"/>
    <w:rsid w:val="001D33AC"/>
    <w:rsid w:val="001E215D"/>
    <w:rsid w:val="001F7066"/>
    <w:rsid w:val="001F7423"/>
    <w:rsid w:val="00207125"/>
    <w:rsid w:val="002133C0"/>
    <w:rsid w:val="00221368"/>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3229"/>
    <w:rsid w:val="002A4D7C"/>
    <w:rsid w:val="002B451F"/>
    <w:rsid w:val="002B7D12"/>
    <w:rsid w:val="002D0F27"/>
    <w:rsid w:val="002D535C"/>
    <w:rsid w:val="002E2448"/>
    <w:rsid w:val="002E7BB6"/>
    <w:rsid w:val="002E7E6E"/>
    <w:rsid w:val="002F3828"/>
    <w:rsid w:val="002F75A0"/>
    <w:rsid w:val="00301BC3"/>
    <w:rsid w:val="00303CD4"/>
    <w:rsid w:val="00305681"/>
    <w:rsid w:val="00306896"/>
    <w:rsid w:val="00313651"/>
    <w:rsid w:val="003265F2"/>
    <w:rsid w:val="003306C0"/>
    <w:rsid w:val="003351B1"/>
    <w:rsid w:val="00347B9B"/>
    <w:rsid w:val="00347E86"/>
    <w:rsid w:val="00362651"/>
    <w:rsid w:val="00367F91"/>
    <w:rsid w:val="00370C71"/>
    <w:rsid w:val="00372916"/>
    <w:rsid w:val="00387208"/>
    <w:rsid w:val="003921A6"/>
    <w:rsid w:val="003A18B4"/>
    <w:rsid w:val="003A2F18"/>
    <w:rsid w:val="003B214A"/>
    <w:rsid w:val="003C4E28"/>
    <w:rsid w:val="003C5DD5"/>
    <w:rsid w:val="003F2FA9"/>
    <w:rsid w:val="003F4F14"/>
    <w:rsid w:val="003F5A84"/>
    <w:rsid w:val="00405A9B"/>
    <w:rsid w:val="004153A9"/>
    <w:rsid w:val="00417A87"/>
    <w:rsid w:val="004200D5"/>
    <w:rsid w:val="00421122"/>
    <w:rsid w:val="00422C00"/>
    <w:rsid w:val="0042354D"/>
    <w:rsid w:val="00423AF0"/>
    <w:rsid w:val="00424D83"/>
    <w:rsid w:val="004332D9"/>
    <w:rsid w:val="0044739D"/>
    <w:rsid w:val="00460259"/>
    <w:rsid w:val="0046344D"/>
    <w:rsid w:val="00472D3F"/>
    <w:rsid w:val="00492C72"/>
    <w:rsid w:val="004A629E"/>
    <w:rsid w:val="004C005E"/>
    <w:rsid w:val="004C3DEF"/>
    <w:rsid w:val="004D038E"/>
    <w:rsid w:val="004E375D"/>
    <w:rsid w:val="004E73BE"/>
    <w:rsid w:val="00505588"/>
    <w:rsid w:val="00510D42"/>
    <w:rsid w:val="005115E1"/>
    <w:rsid w:val="00513390"/>
    <w:rsid w:val="00516040"/>
    <w:rsid w:val="005176C6"/>
    <w:rsid w:val="00523299"/>
    <w:rsid w:val="0052632A"/>
    <w:rsid w:val="00526405"/>
    <w:rsid w:val="00535597"/>
    <w:rsid w:val="00536C76"/>
    <w:rsid w:val="00540B56"/>
    <w:rsid w:val="005457CA"/>
    <w:rsid w:val="00545A3C"/>
    <w:rsid w:val="005466A6"/>
    <w:rsid w:val="00555844"/>
    <w:rsid w:val="0056349D"/>
    <w:rsid w:val="0059496D"/>
    <w:rsid w:val="005A12C0"/>
    <w:rsid w:val="005B464C"/>
    <w:rsid w:val="005C5A04"/>
    <w:rsid w:val="005C701D"/>
    <w:rsid w:val="005C7733"/>
    <w:rsid w:val="005D386C"/>
    <w:rsid w:val="005E024A"/>
    <w:rsid w:val="005E304F"/>
    <w:rsid w:val="005E6040"/>
    <w:rsid w:val="005F2513"/>
    <w:rsid w:val="005F6675"/>
    <w:rsid w:val="00617B4A"/>
    <w:rsid w:val="00621DF1"/>
    <w:rsid w:val="00623752"/>
    <w:rsid w:val="006415A7"/>
    <w:rsid w:val="006427A9"/>
    <w:rsid w:val="00643DFA"/>
    <w:rsid w:val="00660EED"/>
    <w:rsid w:val="00661671"/>
    <w:rsid w:val="00663B00"/>
    <w:rsid w:val="00692F13"/>
    <w:rsid w:val="006953E1"/>
    <w:rsid w:val="006A3098"/>
    <w:rsid w:val="006A4548"/>
    <w:rsid w:val="006A5DCE"/>
    <w:rsid w:val="006B37EC"/>
    <w:rsid w:val="006C4BA0"/>
    <w:rsid w:val="006D53D2"/>
    <w:rsid w:val="006D73DC"/>
    <w:rsid w:val="006E6CD2"/>
    <w:rsid w:val="00704F74"/>
    <w:rsid w:val="00706EBD"/>
    <w:rsid w:val="00715038"/>
    <w:rsid w:val="00716AE4"/>
    <w:rsid w:val="0072001B"/>
    <w:rsid w:val="007231A0"/>
    <w:rsid w:val="00732F53"/>
    <w:rsid w:val="00751F8E"/>
    <w:rsid w:val="00755195"/>
    <w:rsid w:val="00756AE9"/>
    <w:rsid w:val="00771B26"/>
    <w:rsid w:val="00791AE2"/>
    <w:rsid w:val="007923B1"/>
    <w:rsid w:val="00797FF7"/>
    <w:rsid w:val="007A120F"/>
    <w:rsid w:val="007A4C4C"/>
    <w:rsid w:val="007B218C"/>
    <w:rsid w:val="007B6A30"/>
    <w:rsid w:val="007B7F67"/>
    <w:rsid w:val="007C155B"/>
    <w:rsid w:val="007C6593"/>
    <w:rsid w:val="007C78AF"/>
    <w:rsid w:val="007E0276"/>
    <w:rsid w:val="008242C5"/>
    <w:rsid w:val="008334D2"/>
    <w:rsid w:val="008361D0"/>
    <w:rsid w:val="00845570"/>
    <w:rsid w:val="008553B4"/>
    <w:rsid w:val="00857433"/>
    <w:rsid w:val="00857AE8"/>
    <w:rsid w:val="008608AF"/>
    <w:rsid w:val="00864963"/>
    <w:rsid w:val="00875554"/>
    <w:rsid w:val="00875FA5"/>
    <w:rsid w:val="00882222"/>
    <w:rsid w:val="008862E9"/>
    <w:rsid w:val="008878C5"/>
    <w:rsid w:val="0089063D"/>
    <w:rsid w:val="008A4E1D"/>
    <w:rsid w:val="008B4290"/>
    <w:rsid w:val="008D7455"/>
    <w:rsid w:val="008E07A6"/>
    <w:rsid w:val="008E3007"/>
    <w:rsid w:val="008E4A00"/>
    <w:rsid w:val="008F1362"/>
    <w:rsid w:val="008F593D"/>
    <w:rsid w:val="008F6F17"/>
    <w:rsid w:val="00915BE4"/>
    <w:rsid w:val="0092460A"/>
    <w:rsid w:val="00931D59"/>
    <w:rsid w:val="009331EE"/>
    <w:rsid w:val="009357B0"/>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339A"/>
    <w:rsid w:val="00A247D4"/>
    <w:rsid w:val="00A26248"/>
    <w:rsid w:val="00A27243"/>
    <w:rsid w:val="00A3291A"/>
    <w:rsid w:val="00A408B9"/>
    <w:rsid w:val="00A60BF1"/>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512C"/>
    <w:rsid w:val="00B311FA"/>
    <w:rsid w:val="00B339FD"/>
    <w:rsid w:val="00B40D49"/>
    <w:rsid w:val="00B54012"/>
    <w:rsid w:val="00B555B3"/>
    <w:rsid w:val="00B57FD5"/>
    <w:rsid w:val="00B630B7"/>
    <w:rsid w:val="00B631C1"/>
    <w:rsid w:val="00B72C12"/>
    <w:rsid w:val="00B760D9"/>
    <w:rsid w:val="00B948ED"/>
    <w:rsid w:val="00B957A3"/>
    <w:rsid w:val="00BA03AD"/>
    <w:rsid w:val="00BA599C"/>
    <w:rsid w:val="00BB4D69"/>
    <w:rsid w:val="00BC290E"/>
    <w:rsid w:val="00BC7257"/>
    <w:rsid w:val="00BE1961"/>
    <w:rsid w:val="00C1386A"/>
    <w:rsid w:val="00C228B3"/>
    <w:rsid w:val="00C34B70"/>
    <w:rsid w:val="00C71825"/>
    <w:rsid w:val="00C87CF6"/>
    <w:rsid w:val="00C94767"/>
    <w:rsid w:val="00C97276"/>
    <w:rsid w:val="00CB15E0"/>
    <w:rsid w:val="00CC5694"/>
    <w:rsid w:val="00CD6D0F"/>
    <w:rsid w:val="00CE3BB2"/>
    <w:rsid w:val="00CE4E9E"/>
    <w:rsid w:val="00CF2619"/>
    <w:rsid w:val="00D2144F"/>
    <w:rsid w:val="00D35804"/>
    <w:rsid w:val="00D41268"/>
    <w:rsid w:val="00D43C6C"/>
    <w:rsid w:val="00D566BE"/>
    <w:rsid w:val="00D64602"/>
    <w:rsid w:val="00D724AE"/>
    <w:rsid w:val="00D91BD2"/>
    <w:rsid w:val="00D92FC6"/>
    <w:rsid w:val="00D94429"/>
    <w:rsid w:val="00DA4069"/>
    <w:rsid w:val="00DA4E53"/>
    <w:rsid w:val="00DA6473"/>
    <w:rsid w:val="00DB0B93"/>
    <w:rsid w:val="00DB2A4C"/>
    <w:rsid w:val="00DB5746"/>
    <w:rsid w:val="00DB7E8C"/>
    <w:rsid w:val="00DC6A4C"/>
    <w:rsid w:val="00DD2EC2"/>
    <w:rsid w:val="00DE643B"/>
    <w:rsid w:val="00DF6E8B"/>
    <w:rsid w:val="00E02F7E"/>
    <w:rsid w:val="00E26541"/>
    <w:rsid w:val="00E37022"/>
    <w:rsid w:val="00E40DFE"/>
    <w:rsid w:val="00E41CA1"/>
    <w:rsid w:val="00E41CA6"/>
    <w:rsid w:val="00E53D1D"/>
    <w:rsid w:val="00E558CA"/>
    <w:rsid w:val="00E564EC"/>
    <w:rsid w:val="00E716CF"/>
    <w:rsid w:val="00E76C6B"/>
    <w:rsid w:val="00E9229E"/>
    <w:rsid w:val="00E93A8F"/>
    <w:rsid w:val="00E94D61"/>
    <w:rsid w:val="00E95B15"/>
    <w:rsid w:val="00EB07AF"/>
    <w:rsid w:val="00EB36C8"/>
    <w:rsid w:val="00EB6C3F"/>
    <w:rsid w:val="00EC1A65"/>
    <w:rsid w:val="00EC32EC"/>
    <w:rsid w:val="00F10225"/>
    <w:rsid w:val="00F121E9"/>
    <w:rsid w:val="00F12A91"/>
    <w:rsid w:val="00F175D3"/>
    <w:rsid w:val="00F205D3"/>
    <w:rsid w:val="00F22AAC"/>
    <w:rsid w:val="00F33B13"/>
    <w:rsid w:val="00F33B34"/>
    <w:rsid w:val="00F36724"/>
    <w:rsid w:val="00F52115"/>
    <w:rsid w:val="00F663FA"/>
    <w:rsid w:val="00F6744B"/>
    <w:rsid w:val="00F77DC3"/>
    <w:rsid w:val="00F93896"/>
    <w:rsid w:val="00F93951"/>
    <w:rsid w:val="00FA63EA"/>
    <w:rsid w:val="00FE3849"/>
    <w:rsid w:val="00FF1A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 w:type="paragraph" w:customStyle="1" w:styleId="Default">
    <w:name w:val="Default"/>
    <w:rsid w:val="00DA6473"/>
    <w:pPr>
      <w:autoSpaceDE w:val="0"/>
      <w:autoSpaceDN w:val="0"/>
      <w:adjustRightInd w:val="0"/>
    </w:pPr>
    <w:rPr>
      <w:color w:val="000000"/>
      <w:sz w:val="24"/>
      <w:szCs w:val="24"/>
    </w:rPr>
  </w:style>
  <w:style w:type="paragraph" w:styleId="Prskatjums">
    <w:name w:val="Revision"/>
    <w:hidden/>
    <w:uiPriority w:val="99"/>
    <w:semiHidden/>
    <w:rsid w:val="00DB57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C50F-664E-464E-BA2D-E821AD53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12178</Words>
  <Characters>6943</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2</cp:revision>
  <cp:lastPrinted>2024-10-03T10:58:00Z</cp:lastPrinted>
  <dcterms:created xsi:type="dcterms:W3CDTF">2025-05-20T11:04:00Z</dcterms:created>
  <dcterms:modified xsi:type="dcterms:W3CDTF">2025-05-20T11:04:00Z</dcterms:modified>
</cp:coreProperties>
</file>