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851BC" w14:textId="11509771" w:rsidR="005F450A" w:rsidRDefault="000C7716" w:rsidP="000C7716">
      <w:pPr>
        <w:jc w:val="right"/>
      </w:pPr>
      <w:r>
        <w:t>Jelgavā, 20</w:t>
      </w:r>
      <w:r w:rsidR="004A3820">
        <w:t>26</w:t>
      </w:r>
      <w:r>
        <w:t xml:space="preserve">.gada </w:t>
      </w:r>
      <w:r w:rsidR="004A3820">
        <w:t>29.janvārī</w:t>
      </w:r>
      <w:r>
        <w:t xml:space="preserve"> (prot. Nr.__, __p.)</w:t>
      </w:r>
    </w:p>
    <w:p w14:paraId="1FD466E3" w14:textId="77777777" w:rsidR="005F450A" w:rsidRDefault="005F450A"/>
    <w:p w14:paraId="327BDC7F" w14:textId="75623E7C" w:rsidR="000C7716" w:rsidRDefault="000C7716" w:rsidP="000C7716">
      <w:pPr>
        <w:jc w:val="center"/>
        <w:rPr>
          <w:b/>
        </w:rPr>
      </w:pPr>
      <w:bookmarkStart w:id="0" w:name="_Hlk218858777"/>
      <w:r w:rsidRPr="00897D6C">
        <w:rPr>
          <w:b/>
        </w:rPr>
        <w:t>JELGAVAS VALSTSPILSĒTAS PAŠVALDĪBAS 20</w:t>
      </w:r>
      <w:r w:rsidR="004A3820">
        <w:rPr>
          <w:b/>
        </w:rPr>
        <w:t>26</w:t>
      </w:r>
      <w:r w:rsidRPr="00897D6C">
        <w:rPr>
          <w:b/>
        </w:rPr>
        <w:t xml:space="preserve">.GADA </w:t>
      </w:r>
      <w:r w:rsidR="004A3820">
        <w:rPr>
          <w:b/>
        </w:rPr>
        <w:t>29.janvāra</w:t>
      </w:r>
      <w:r>
        <w:rPr>
          <w:b/>
        </w:rPr>
        <w:t xml:space="preserve"> </w:t>
      </w:r>
    </w:p>
    <w:p w14:paraId="54C6B94B" w14:textId="77777777" w:rsidR="000C7716" w:rsidRDefault="000C7716" w:rsidP="000C7716">
      <w:pPr>
        <w:jc w:val="center"/>
        <w:rPr>
          <w:b/>
        </w:rPr>
      </w:pPr>
      <w:r w:rsidRPr="00897D6C">
        <w:rPr>
          <w:b/>
        </w:rPr>
        <w:t>SAISTOŠ</w:t>
      </w:r>
      <w:r>
        <w:rPr>
          <w:b/>
        </w:rPr>
        <w:t>IE NOTEIKUMI</w:t>
      </w:r>
      <w:r w:rsidRPr="00897D6C">
        <w:rPr>
          <w:b/>
        </w:rPr>
        <w:t xml:space="preserve"> NR.</w:t>
      </w:r>
      <w:r>
        <w:rPr>
          <w:b/>
        </w:rPr>
        <w:t>______</w:t>
      </w:r>
      <w:r w:rsidRPr="00897D6C">
        <w:rPr>
          <w:b/>
        </w:rPr>
        <w:t xml:space="preserve">   </w:t>
      </w:r>
    </w:p>
    <w:p w14:paraId="66BF652F" w14:textId="18F70288" w:rsidR="000C7716" w:rsidRPr="004A3820" w:rsidRDefault="000C7716" w:rsidP="000C7716">
      <w:pPr>
        <w:jc w:val="center"/>
        <w:rPr>
          <w:b/>
        </w:rPr>
      </w:pPr>
      <w:r w:rsidRPr="004A3820">
        <w:rPr>
          <w:b/>
        </w:rPr>
        <w:t>“</w:t>
      </w:r>
      <w:r w:rsidR="004A3820" w:rsidRPr="004A3820">
        <w:rPr>
          <w:b/>
        </w:rPr>
        <w:t>GROZĪJUMI JELGAVAS VALSTSPILSĒTAS PAŠVALDĪBAS 2022.</w:t>
      </w:r>
      <w:r w:rsidR="004A3820">
        <w:rPr>
          <w:b/>
        </w:rPr>
        <w:t> </w:t>
      </w:r>
      <w:r w:rsidR="004A3820" w:rsidRPr="004A3820">
        <w:rPr>
          <w:b/>
        </w:rPr>
        <w:t>GADA 30.</w:t>
      </w:r>
      <w:r w:rsidR="004A3820">
        <w:rPr>
          <w:b/>
        </w:rPr>
        <w:t> </w:t>
      </w:r>
      <w:r w:rsidR="004A3820" w:rsidRPr="004A3820">
        <w:rPr>
          <w:b/>
        </w:rPr>
        <w:t>JŪNIJA SAISTOŠAJOS NOTEIKUMOS NR.22-18 “JELGAVAS VALSTSPILSĒTAS PAŠVALDĪBAS PALĪDZĪBAS DZĪVOKĻA JAUTĀJUMU RISINĀŠANĀ SNIEGŠANAS KĀRTĪBA</w:t>
      </w:r>
      <w:r w:rsidRPr="004A3820">
        <w:rPr>
          <w:b/>
        </w:rPr>
        <w:t>”</w:t>
      </w:r>
    </w:p>
    <w:bookmarkEnd w:id="0"/>
    <w:p w14:paraId="5799AE57" w14:textId="77777777" w:rsidR="000C7716" w:rsidRDefault="000C7716" w:rsidP="000C7716">
      <w:pPr>
        <w:jc w:val="center"/>
        <w:rPr>
          <w:b/>
          <w:i/>
        </w:rPr>
      </w:pPr>
    </w:p>
    <w:p w14:paraId="0C34264B" w14:textId="77777777" w:rsidR="006D7225" w:rsidRDefault="004A3820" w:rsidP="004A3820">
      <w:pPr>
        <w:jc w:val="right"/>
        <w:rPr>
          <w:i/>
        </w:rPr>
      </w:pPr>
      <w:bookmarkStart w:id="1" w:name="_Hlk218859321"/>
      <w:r w:rsidRPr="007A1B33">
        <w:rPr>
          <w:i/>
        </w:rPr>
        <w:t>Izdoti saskaņā ar likuma</w:t>
      </w:r>
      <w:r w:rsidRPr="007A1B33">
        <w:rPr>
          <w:i/>
        </w:rPr>
        <w:br/>
        <w:t>“</w:t>
      </w:r>
      <w:hyperlink r:id="rId7" w:tgtFrame="_blank" w:history="1">
        <w:r w:rsidRPr="007A1B33">
          <w:rPr>
            <w:rStyle w:val="Hipersaite"/>
            <w:i/>
            <w:color w:val="auto"/>
            <w:u w:val="none"/>
          </w:rPr>
          <w:t>Par palīdzību dzīvokļa jautājumu risināšanā</w:t>
        </w:r>
      </w:hyperlink>
      <w:r w:rsidRPr="007A1B33">
        <w:rPr>
          <w:i/>
        </w:rPr>
        <w:t>”</w:t>
      </w:r>
      <w:r w:rsidRPr="007A1B33">
        <w:rPr>
          <w:i/>
        </w:rPr>
        <w:br/>
      </w:r>
      <w:r w:rsidRPr="007A1B33">
        <w:rPr>
          <w:rStyle w:val="Hipersaite"/>
          <w:i/>
          <w:color w:val="auto"/>
          <w:u w:val="none"/>
        </w:rPr>
        <w:t>5. pantu,</w:t>
      </w:r>
      <w:r w:rsidR="006D7225">
        <w:rPr>
          <w:rStyle w:val="Hipersaite"/>
          <w:i/>
          <w:color w:val="auto"/>
          <w:u w:val="none"/>
        </w:rPr>
        <w:t xml:space="preserve"> </w:t>
      </w:r>
      <w:hyperlink r:id="rId8" w:anchor="p17" w:tgtFrame="_blank" w:history="1">
        <w:r w:rsidRPr="007A1B33">
          <w:rPr>
            <w:rStyle w:val="Hipersaite"/>
            <w:i/>
            <w:color w:val="auto"/>
            <w:u w:val="none"/>
          </w:rPr>
          <w:t>17. panta</w:t>
        </w:r>
      </w:hyperlink>
      <w:r w:rsidRPr="007A1B33">
        <w:rPr>
          <w:i/>
        </w:rPr>
        <w:t xml:space="preserve"> otro daļu, </w:t>
      </w:r>
    </w:p>
    <w:p w14:paraId="7BCA6F34" w14:textId="2FA5F1A5" w:rsidR="004A3820" w:rsidRPr="007A1B33" w:rsidRDefault="004A3820" w:rsidP="004A3820">
      <w:pPr>
        <w:jc w:val="right"/>
        <w:rPr>
          <w:i/>
        </w:rPr>
      </w:pPr>
      <w:hyperlink r:id="rId9" w:anchor="p21_7" w:tgtFrame="_blank" w:history="1">
        <w:r w:rsidRPr="007A1B33">
          <w:rPr>
            <w:rStyle w:val="Hipersaite"/>
            <w:i/>
            <w:color w:val="auto"/>
            <w:u w:val="none"/>
          </w:rPr>
          <w:t>21.</w:t>
        </w:r>
        <w:r w:rsidRPr="007A1B33">
          <w:rPr>
            <w:rStyle w:val="Hipersaite"/>
            <w:i/>
            <w:color w:val="auto"/>
            <w:u w:val="none"/>
            <w:vertAlign w:val="superscript"/>
          </w:rPr>
          <w:t>1</w:t>
        </w:r>
        <w:r w:rsidRPr="007A1B33">
          <w:rPr>
            <w:rStyle w:val="Hipersaite"/>
            <w:i/>
            <w:color w:val="auto"/>
            <w:u w:val="none"/>
          </w:rPr>
          <w:t> panta</w:t>
        </w:r>
      </w:hyperlink>
      <w:r w:rsidRPr="007A1B33">
        <w:rPr>
          <w:i/>
        </w:rPr>
        <w:t xml:space="preserve"> otro daļu,</w:t>
      </w:r>
      <w:r w:rsidR="006D7225">
        <w:rPr>
          <w:i/>
        </w:rPr>
        <w:t xml:space="preserve"> </w:t>
      </w:r>
      <w:hyperlink r:id="rId10" w:anchor="p21_7" w:tgtFrame="_blank" w:history="1">
        <w:r w:rsidRPr="007A1B33">
          <w:rPr>
            <w:rStyle w:val="Hipersaite"/>
            <w:i/>
            <w:color w:val="auto"/>
            <w:u w:val="none"/>
          </w:rPr>
          <w:t>21.</w:t>
        </w:r>
        <w:r w:rsidRPr="007A1B33">
          <w:rPr>
            <w:rStyle w:val="Hipersaite"/>
            <w:i/>
            <w:color w:val="auto"/>
            <w:u w:val="none"/>
            <w:vertAlign w:val="superscript"/>
          </w:rPr>
          <w:t>2</w:t>
        </w:r>
        <w:r w:rsidRPr="007A1B33">
          <w:rPr>
            <w:rStyle w:val="Hipersaite"/>
            <w:i/>
            <w:color w:val="auto"/>
            <w:u w:val="none"/>
          </w:rPr>
          <w:t> panta</w:t>
        </w:r>
      </w:hyperlink>
      <w:r w:rsidRPr="007A1B33">
        <w:rPr>
          <w:i/>
        </w:rPr>
        <w:t xml:space="preserve"> otro daļu,  </w:t>
      </w:r>
      <w:r w:rsidRPr="007A1B33">
        <w:rPr>
          <w:i/>
        </w:rPr>
        <w:br/>
        <w:t>26. panta otro daļu,</w:t>
      </w:r>
    </w:p>
    <w:bookmarkEnd w:id="1"/>
    <w:p w14:paraId="5A59DBF5" w14:textId="77777777" w:rsidR="000C7716" w:rsidRDefault="000C7716" w:rsidP="000C7716">
      <w:pPr>
        <w:jc w:val="right"/>
        <w:rPr>
          <w:b/>
          <w:i/>
        </w:rPr>
      </w:pPr>
    </w:p>
    <w:p w14:paraId="44581B46" w14:textId="77777777" w:rsidR="000C7716" w:rsidRDefault="000C7716" w:rsidP="000C7716">
      <w:pPr>
        <w:jc w:val="both"/>
      </w:pPr>
    </w:p>
    <w:p w14:paraId="47C8FDE7" w14:textId="2D98CE61" w:rsidR="004A3820" w:rsidRDefault="004A3820" w:rsidP="004A3820">
      <w:pPr>
        <w:pStyle w:val="Galvene"/>
        <w:tabs>
          <w:tab w:val="left" w:pos="-2694"/>
          <w:tab w:val="right" w:pos="-1985"/>
          <w:tab w:val="center" w:pos="-1560"/>
          <w:tab w:val="center" w:pos="-1134"/>
        </w:tabs>
        <w:ind w:right="46" w:firstLine="567"/>
        <w:jc w:val="both"/>
      </w:pPr>
      <w:r>
        <w:t xml:space="preserve">Izdarīt Jelgavas </w:t>
      </w:r>
      <w:proofErr w:type="spellStart"/>
      <w:r>
        <w:t>valstspilsētas</w:t>
      </w:r>
      <w:proofErr w:type="spellEnd"/>
      <w:r>
        <w:t xml:space="preserve"> pašvaldības 2022. gada 30. jūnija saistošajos noteikumos Nr.22-18 “Jelgavas </w:t>
      </w:r>
      <w:proofErr w:type="spellStart"/>
      <w:r>
        <w:t>valstspilsētas</w:t>
      </w:r>
      <w:proofErr w:type="spellEnd"/>
      <w:r>
        <w:t xml:space="preserve"> pašvaldības palīdzības dzīvokļa jautājumu risināšanā sniegšanas kārtība” (turpmāk – noteikumi) (Latvijas Vēstnesis, 2022, 170 nr.; 2024, 69 nr., 150 nr. un 2025, 8 nr.) šādus grozījumus:</w:t>
      </w:r>
    </w:p>
    <w:p w14:paraId="3BA35F4E" w14:textId="0133DD95" w:rsidR="004A3820" w:rsidRDefault="004A3820" w:rsidP="004A3820">
      <w:pPr>
        <w:pStyle w:val="Galvene"/>
        <w:numPr>
          <w:ilvl w:val="0"/>
          <w:numId w:val="1"/>
        </w:numPr>
        <w:tabs>
          <w:tab w:val="left" w:pos="-2694"/>
          <w:tab w:val="right" w:pos="-1985"/>
          <w:tab w:val="center" w:pos="-1560"/>
          <w:tab w:val="center" w:pos="-1134"/>
        </w:tabs>
        <w:ind w:left="284" w:right="46" w:hanging="284"/>
        <w:jc w:val="both"/>
      </w:pPr>
      <w:r>
        <w:t>Izteikt noteikumu 12.punktu šādā redakcijā:</w:t>
      </w:r>
    </w:p>
    <w:p w14:paraId="4B3E9FA9" w14:textId="65AA0BC0" w:rsidR="004A3820" w:rsidRDefault="004A3820" w:rsidP="004A3820">
      <w:pPr>
        <w:pStyle w:val="Galvene"/>
        <w:tabs>
          <w:tab w:val="left" w:pos="-2694"/>
          <w:tab w:val="right" w:pos="-1985"/>
          <w:tab w:val="center" w:pos="-1560"/>
          <w:tab w:val="center" w:pos="-1134"/>
        </w:tabs>
        <w:ind w:left="284" w:right="46"/>
        <w:jc w:val="both"/>
      </w:pPr>
      <w:r>
        <w:t xml:space="preserve">“12. </w:t>
      </w:r>
      <w:r w:rsidRPr="004A3820">
        <w:t>Pabalsta dzīvojamās telpas vai dzīvojamās mājas remontam piešķiršanas gadījumā, personai 60 dienu laikā no minētā pabalsta saņemšanas dienas rakstiski jāiesniedz pašvaldībā attaisnojoši dokumenti par tā izlietojumu.</w:t>
      </w:r>
      <w:r>
        <w:t xml:space="preserve"> </w:t>
      </w:r>
      <w:r w:rsidR="00CF4E4D" w:rsidRPr="00CF4E4D">
        <w:t>Pamatotu iemeslu dēļ attaisnojošo dokumentu iesniegšanas termiņu var pagarināt vēl par 60 dienām, saskaņojot to ar pašvaldību.</w:t>
      </w:r>
      <w:r w:rsidR="00CF4E4D">
        <w:t>”</w:t>
      </w:r>
    </w:p>
    <w:p w14:paraId="04C1585E" w14:textId="01D9E4E9" w:rsidR="004A3820" w:rsidRDefault="004A3820" w:rsidP="004A3820">
      <w:pPr>
        <w:pStyle w:val="Galvene"/>
        <w:numPr>
          <w:ilvl w:val="0"/>
          <w:numId w:val="1"/>
        </w:numPr>
        <w:tabs>
          <w:tab w:val="left" w:pos="-2694"/>
          <w:tab w:val="right" w:pos="-1985"/>
          <w:tab w:val="center" w:pos="-1560"/>
          <w:tab w:val="center" w:pos="-1134"/>
        </w:tabs>
        <w:ind w:left="284" w:right="46" w:hanging="284"/>
        <w:jc w:val="both"/>
      </w:pPr>
      <w:r>
        <w:t>Papildināt noteikumu 21.1. apakšpunktu ar vārdiem “ārsti</w:t>
      </w:r>
      <w:r w:rsidR="00C545C9">
        <w:t xml:space="preserve"> un</w:t>
      </w:r>
      <w:r>
        <w:t xml:space="preserve"> rezidenti</w:t>
      </w:r>
      <w:r w:rsidR="00C545C9">
        <w:t>”</w:t>
      </w:r>
      <w:r>
        <w:t xml:space="preserve">. </w:t>
      </w:r>
    </w:p>
    <w:p w14:paraId="46275A29" w14:textId="77777777" w:rsidR="000C7716" w:rsidRDefault="000C7716" w:rsidP="000C7716"/>
    <w:p w14:paraId="352E4D62" w14:textId="77777777" w:rsidR="00ED0E87" w:rsidRDefault="00ED0E87" w:rsidP="000C7716"/>
    <w:p w14:paraId="6B0D18B9" w14:textId="77777777" w:rsidR="00ED0E87" w:rsidRDefault="00ED0E87" w:rsidP="000C7716"/>
    <w:p w14:paraId="6EBAB35B" w14:textId="7347C59B" w:rsidR="000C7716" w:rsidRDefault="008B3285" w:rsidP="000C7716">
      <w:pPr>
        <w:jc w:val="both"/>
      </w:pPr>
      <w:r>
        <w:t>D</w:t>
      </w:r>
      <w:r w:rsidR="000C7716">
        <w:t>omes priekšsēdētājs</w:t>
      </w:r>
      <w:r w:rsidR="000C7716">
        <w:tab/>
      </w:r>
      <w:r>
        <w:tab/>
      </w:r>
      <w:r>
        <w:tab/>
      </w:r>
      <w:r w:rsidR="000C7716">
        <w:tab/>
      </w:r>
      <w:r w:rsidR="000C7716">
        <w:tab/>
      </w:r>
      <w:r w:rsidR="000C7716">
        <w:tab/>
      </w:r>
      <w:r w:rsidR="000C7716">
        <w:tab/>
      </w:r>
      <w:r w:rsidR="000C7716">
        <w:tab/>
      </w:r>
      <w:r w:rsidR="004A3820">
        <w:t>M. Daģis</w:t>
      </w:r>
    </w:p>
    <w:p w14:paraId="0B7F8972" w14:textId="77777777" w:rsidR="000C7716" w:rsidRPr="000C7716" w:rsidRDefault="000C7716" w:rsidP="000C7716"/>
    <w:sectPr w:rsidR="000C7716" w:rsidRPr="000C7716" w:rsidSect="000C7716">
      <w:headerReference w:type="first" r:id="rId11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7B16C" w14:textId="77777777" w:rsidR="00382D19" w:rsidRDefault="00382D19">
      <w:r>
        <w:separator/>
      </w:r>
    </w:p>
  </w:endnote>
  <w:endnote w:type="continuationSeparator" w:id="0">
    <w:p w14:paraId="4C7964F4" w14:textId="77777777" w:rsidR="00382D19" w:rsidRDefault="00382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5C239" w14:textId="77777777" w:rsidR="00382D19" w:rsidRDefault="00382D19">
      <w:r>
        <w:separator/>
      </w:r>
    </w:p>
  </w:footnote>
  <w:footnote w:type="continuationSeparator" w:id="0">
    <w:p w14:paraId="5EBF75B1" w14:textId="77777777" w:rsidR="00382D19" w:rsidRDefault="00382D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eatabula"/>
      <w:tblW w:w="0" w:type="auto"/>
      <w:tblLook w:val="04A0" w:firstRow="1" w:lastRow="0" w:firstColumn="1" w:lastColumn="0" w:noHBand="0" w:noVBand="1"/>
    </w:tblPr>
    <w:tblGrid>
      <w:gridCol w:w="1418"/>
      <w:gridCol w:w="7643"/>
    </w:tblGrid>
    <w:tr w:rsidR="007D6584" w14:paraId="535BD949" w14:textId="77777777" w:rsidTr="007D6584">
      <w:tc>
        <w:tcPr>
          <w:tcW w:w="1418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51673D1A" w14:textId="77777777" w:rsidR="007D6584" w:rsidRDefault="007D6584" w:rsidP="007D6584">
          <w:pPr>
            <w:pStyle w:val="Galvene"/>
            <w:jc w:val="center"/>
            <w:rPr>
              <w:rFonts w:ascii="Arial" w:hAnsi="Arial"/>
              <w:b/>
              <w:sz w:val="28"/>
            </w:rPr>
          </w:pPr>
          <w:r>
            <w:rPr>
              <w:rFonts w:ascii="Arial" w:hAnsi="Arial"/>
              <w:b/>
              <w:noProof/>
              <w:sz w:val="28"/>
            </w:rPr>
            <w:drawing>
              <wp:inline distT="0" distB="0" distL="0" distR="0" wp14:anchorId="284BEEC2" wp14:editId="041359DA">
                <wp:extent cx="723900" cy="866775"/>
                <wp:effectExtent l="0" t="0" r="0" b="9525"/>
                <wp:docPr id="2" name="Picture 1" descr="gerbs_bw-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erbs_bw-0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43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14:paraId="009FF015" w14:textId="77777777" w:rsidR="007D6584" w:rsidRDefault="007D6584" w:rsidP="007D6584">
          <w:pPr>
            <w:pStyle w:val="Galvene"/>
            <w:spacing w:before="120"/>
            <w:rPr>
              <w:rFonts w:ascii="Arial" w:hAnsi="Arial"/>
              <w:b/>
              <w:sz w:val="28"/>
            </w:rPr>
          </w:pPr>
          <w:r>
            <w:rPr>
              <w:rFonts w:ascii="Arial" w:hAnsi="Arial"/>
              <w:b/>
              <w:sz w:val="28"/>
            </w:rPr>
            <w:t>Latvijas Republika</w:t>
          </w:r>
        </w:p>
        <w:p w14:paraId="12C9FCBF" w14:textId="77777777" w:rsidR="007D6584" w:rsidRPr="00BA4C9C" w:rsidRDefault="006C401B" w:rsidP="007D6584">
          <w:pPr>
            <w:pStyle w:val="Galvene"/>
            <w:ind w:left="33" w:right="-1"/>
            <w:rPr>
              <w:rFonts w:ascii="Arial" w:hAnsi="Arial"/>
              <w:b/>
              <w:sz w:val="52"/>
              <w:szCs w:val="52"/>
            </w:rPr>
          </w:pPr>
          <w:r w:rsidRPr="005A2CAC">
            <w:rPr>
              <w:rFonts w:ascii="Arial" w:hAnsi="Arial"/>
              <w:b/>
              <w:spacing w:val="-6"/>
              <w:sz w:val="38"/>
              <w:szCs w:val="38"/>
            </w:rPr>
            <w:t xml:space="preserve">Jelgavas </w:t>
          </w:r>
          <w:proofErr w:type="spellStart"/>
          <w:r w:rsidRPr="005A2CAC">
            <w:rPr>
              <w:rFonts w:ascii="Arial" w:hAnsi="Arial"/>
              <w:b/>
              <w:spacing w:val="-6"/>
              <w:sz w:val="38"/>
              <w:szCs w:val="38"/>
            </w:rPr>
            <w:t>valstspilsētas</w:t>
          </w:r>
          <w:proofErr w:type="spellEnd"/>
          <w:r w:rsidRPr="005A2CAC">
            <w:rPr>
              <w:rFonts w:ascii="Arial" w:hAnsi="Arial"/>
              <w:b/>
              <w:spacing w:val="-6"/>
              <w:sz w:val="38"/>
              <w:szCs w:val="38"/>
            </w:rPr>
            <w:t xml:space="preserve"> pašvaldības dome</w:t>
          </w:r>
        </w:p>
        <w:p w14:paraId="69F1D7D1" w14:textId="77777777" w:rsidR="007D6584" w:rsidRDefault="007D6584" w:rsidP="007D6584">
          <w:pPr>
            <w:pStyle w:val="Galvene"/>
            <w:tabs>
              <w:tab w:val="left" w:pos="1440"/>
            </w:tabs>
            <w:ind w:left="33"/>
            <w:jc w:val="center"/>
            <w:rPr>
              <w:rFonts w:ascii="Arial" w:hAnsi="Arial"/>
              <w:sz w:val="10"/>
            </w:rPr>
          </w:pPr>
        </w:p>
        <w:p w14:paraId="7DF16D9D" w14:textId="77777777" w:rsidR="007D6584" w:rsidRPr="00727F3B" w:rsidRDefault="007D6584" w:rsidP="007D6584">
          <w:pPr>
            <w:pStyle w:val="Galvene"/>
            <w:tabs>
              <w:tab w:val="left" w:pos="1440"/>
            </w:tabs>
            <w:ind w:left="33"/>
            <w:rPr>
              <w:rFonts w:ascii="Arial" w:hAnsi="Arial"/>
              <w:sz w:val="17"/>
              <w:szCs w:val="17"/>
            </w:rPr>
          </w:pPr>
          <w:r w:rsidRPr="00727F3B">
            <w:rPr>
              <w:rFonts w:ascii="Arial" w:hAnsi="Arial"/>
              <w:sz w:val="17"/>
              <w:szCs w:val="17"/>
            </w:rPr>
            <w:t>Lielā iela 11, Jelgava, LV-3001, Latvija</w:t>
          </w:r>
        </w:p>
        <w:p w14:paraId="32070BC9" w14:textId="77777777" w:rsidR="007D6584" w:rsidRPr="009B0803" w:rsidRDefault="007D6584" w:rsidP="005032AA">
          <w:pPr>
            <w:pStyle w:val="Galvene"/>
            <w:tabs>
              <w:tab w:val="left" w:pos="1440"/>
            </w:tabs>
            <w:spacing w:after="120"/>
            <w:ind w:left="34"/>
            <w:rPr>
              <w:rFonts w:ascii="Arial" w:hAnsi="Arial"/>
              <w:sz w:val="17"/>
              <w:szCs w:val="17"/>
            </w:rPr>
          </w:pPr>
          <w:r w:rsidRPr="00727F3B">
            <w:rPr>
              <w:rFonts w:ascii="Arial" w:hAnsi="Arial"/>
              <w:sz w:val="17"/>
              <w:szCs w:val="17"/>
            </w:rPr>
            <w:t xml:space="preserve">tālrunis: 63005531, 63005538, e-pasts: </w:t>
          </w:r>
          <w:r w:rsidR="005032AA">
            <w:rPr>
              <w:rFonts w:ascii="Arial" w:hAnsi="Arial"/>
              <w:sz w:val="17"/>
              <w:szCs w:val="17"/>
            </w:rPr>
            <w:t>pasts</w:t>
          </w:r>
          <w:r w:rsidRPr="00727F3B">
            <w:rPr>
              <w:rFonts w:ascii="Arial" w:hAnsi="Arial"/>
              <w:sz w:val="17"/>
              <w:szCs w:val="17"/>
            </w:rPr>
            <w:t>@jelgava.lv</w:t>
          </w:r>
        </w:p>
      </w:tc>
    </w:tr>
  </w:tbl>
  <w:p w14:paraId="05ABB95D" w14:textId="77777777" w:rsidR="005F450A" w:rsidRPr="007D6584" w:rsidRDefault="005F450A" w:rsidP="007D6584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5614FA"/>
    <w:multiLevelType w:val="hybridMultilevel"/>
    <w:tmpl w:val="DC2AE69A"/>
    <w:lvl w:ilvl="0" w:tplc="0426000F">
      <w:start w:val="1"/>
      <w:numFmt w:val="decimal"/>
      <w:lvlText w:val="%1."/>
      <w:lvlJc w:val="left"/>
      <w:pPr>
        <w:ind w:left="780" w:hanging="360"/>
      </w:pPr>
    </w:lvl>
    <w:lvl w:ilvl="1" w:tplc="04260019" w:tentative="1">
      <w:start w:val="1"/>
      <w:numFmt w:val="lowerLetter"/>
      <w:lvlText w:val="%2."/>
      <w:lvlJc w:val="left"/>
      <w:pPr>
        <w:ind w:left="1500" w:hanging="360"/>
      </w:pPr>
    </w:lvl>
    <w:lvl w:ilvl="2" w:tplc="0426001B" w:tentative="1">
      <w:start w:val="1"/>
      <w:numFmt w:val="lowerRoman"/>
      <w:lvlText w:val="%3."/>
      <w:lvlJc w:val="right"/>
      <w:pPr>
        <w:ind w:left="2220" w:hanging="180"/>
      </w:pPr>
    </w:lvl>
    <w:lvl w:ilvl="3" w:tplc="0426000F" w:tentative="1">
      <w:start w:val="1"/>
      <w:numFmt w:val="decimal"/>
      <w:lvlText w:val="%4."/>
      <w:lvlJc w:val="left"/>
      <w:pPr>
        <w:ind w:left="2940" w:hanging="360"/>
      </w:pPr>
    </w:lvl>
    <w:lvl w:ilvl="4" w:tplc="04260019" w:tentative="1">
      <w:start w:val="1"/>
      <w:numFmt w:val="lowerLetter"/>
      <w:lvlText w:val="%5."/>
      <w:lvlJc w:val="left"/>
      <w:pPr>
        <w:ind w:left="3660" w:hanging="360"/>
      </w:pPr>
    </w:lvl>
    <w:lvl w:ilvl="5" w:tplc="0426001B" w:tentative="1">
      <w:start w:val="1"/>
      <w:numFmt w:val="lowerRoman"/>
      <w:lvlText w:val="%6."/>
      <w:lvlJc w:val="right"/>
      <w:pPr>
        <w:ind w:left="4380" w:hanging="180"/>
      </w:pPr>
    </w:lvl>
    <w:lvl w:ilvl="6" w:tplc="0426000F" w:tentative="1">
      <w:start w:val="1"/>
      <w:numFmt w:val="decimal"/>
      <w:lvlText w:val="%7."/>
      <w:lvlJc w:val="left"/>
      <w:pPr>
        <w:ind w:left="5100" w:hanging="360"/>
      </w:pPr>
    </w:lvl>
    <w:lvl w:ilvl="7" w:tplc="04260019" w:tentative="1">
      <w:start w:val="1"/>
      <w:numFmt w:val="lowerLetter"/>
      <w:lvlText w:val="%8."/>
      <w:lvlJc w:val="left"/>
      <w:pPr>
        <w:ind w:left="5820" w:hanging="360"/>
      </w:pPr>
    </w:lvl>
    <w:lvl w:ilvl="8" w:tplc="0426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539048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820"/>
    <w:rsid w:val="00021DDE"/>
    <w:rsid w:val="00030783"/>
    <w:rsid w:val="00054B4E"/>
    <w:rsid w:val="000A68F5"/>
    <w:rsid w:val="000C7716"/>
    <w:rsid w:val="00112129"/>
    <w:rsid w:val="0012647B"/>
    <w:rsid w:val="00167F75"/>
    <w:rsid w:val="00182448"/>
    <w:rsid w:val="001A7689"/>
    <w:rsid w:val="001B767A"/>
    <w:rsid w:val="001F407E"/>
    <w:rsid w:val="001F4807"/>
    <w:rsid w:val="0021643F"/>
    <w:rsid w:val="00234525"/>
    <w:rsid w:val="0028364E"/>
    <w:rsid w:val="00284121"/>
    <w:rsid w:val="002C07FD"/>
    <w:rsid w:val="002D2555"/>
    <w:rsid w:val="002E1F65"/>
    <w:rsid w:val="002E642D"/>
    <w:rsid w:val="003636D8"/>
    <w:rsid w:val="00382D19"/>
    <w:rsid w:val="003A55B2"/>
    <w:rsid w:val="003B049D"/>
    <w:rsid w:val="003B41F0"/>
    <w:rsid w:val="00424462"/>
    <w:rsid w:val="0043121C"/>
    <w:rsid w:val="00483639"/>
    <w:rsid w:val="00494F1B"/>
    <w:rsid w:val="004A3820"/>
    <w:rsid w:val="004B5683"/>
    <w:rsid w:val="005032AA"/>
    <w:rsid w:val="005B0C3D"/>
    <w:rsid w:val="005B4363"/>
    <w:rsid w:val="005C293A"/>
    <w:rsid w:val="005C5696"/>
    <w:rsid w:val="005F450A"/>
    <w:rsid w:val="00607FF6"/>
    <w:rsid w:val="006139B3"/>
    <w:rsid w:val="00615C22"/>
    <w:rsid w:val="00644AA6"/>
    <w:rsid w:val="00676064"/>
    <w:rsid w:val="00696DB4"/>
    <w:rsid w:val="006A3EA8"/>
    <w:rsid w:val="006C401B"/>
    <w:rsid w:val="006D7225"/>
    <w:rsid w:val="007A3445"/>
    <w:rsid w:val="007C11D3"/>
    <w:rsid w:val="007D6584"/>
    <w:rsid w:val="008550AE"/>
    <w:rsid w:val="00860E5E"/>
    <w:rsid w:val="008B3285"/>
    <w:rsid w:val="008D3088"/>
    <w:rsid w:val="009269C7"/>
    <w:rsid w:val="00975251"/>
    <w:rsid w:val="009974AA"/>
    <w:rsid w:val="00AB7C67"/>
    <w:rsid w:val="00AC3379"/>
    <w:rsid w:val="00AE0902"/>
    <w:rsid w:val="00AE0FFD"/>
    <w:rsid w:val="00B61EC9"/>
    <w:rsid w:val="00B7291C"/>
    <w:rsid w:val="00B908CC"/>
    <w:rsid w:val="00BD5700"/>
    <w:rsid w:val="00C03D25"/>
    <w:rsid w:val="00C545C9"/>
    <w:rsid w:val="00CB262E"/>
    <w:rsid w:val="00CC056B"/>
    <w:rsid w:val="00CF4E4D"/>
    <w:rsid w:val="00D3108D"/>
    <w:rsid w:val="00DC009C"/>
    <w:rsid w:val="00DF61B5"/>
    <w:rsid w:val="00E00CCF"/>
    <w:rsid w:val="00E81AB2"/>
    <w:rsid w:val="00EC06E0"/>
    <w:rsid w:val="00ED0E87"/>
    <w:rsid w:val="00F24A9C"/>
    <w:rsid w:val="00F47D49"/>
    <w:rsid w:val="00F52088"/>
    <w:rsid w:val="00F55243"/>
    <w:rsid w:val="00F60AD7"/>
    <w:rsid w:val="00F73BF7"/>
    <w:rsid w:val="00F9186A"/>
    <w:rsid w:val="00FB45CA"/>
    <w:rsid w:val="00FF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1AFCCDD4"/>
  <w15:chartTrackingRefBased/>
  <w15:docId w15:val="{C97F9F55-79DD-4883-BAFF-5C2EF3883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Pr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pPr>
      <w:tabs>
        <w:tab w:val="center" w:pos="4153"/>
        <w:tab w:val="right" w:pos="8306"/>
      </w:tabs>
    </w:pPr>
  </w:style>
  <w:style w:type="paragraph" w:styleId="Kjene">
    <w:name w:val="footer"/>
    <w:basedOn w:val="Parasts"/>
    <w:pPr>
      <w:tabs>
        <w:tab w:val="center" w:pos="4153"/>
        <w:tab w:val="right" w:pos="8306"/>
      </w:tabs>
    </w:pPr>
  </w:style>
  <w:style w:type="character" w:styleId="Hipersaite">
    <w:name w:val="Hyperlink"/>
    <w:uiPriority w:val="99"/>
    <w:rsid w:val="00AE0FFD"/>
    <w:rPr>
      <w:color w:val="0000FF"/>
      <w:u w:val="single"/>
    </w:rPr>
  </w:style>
  <w:style w:type="character" w:styleId="Lappusesnumurs">
    <w:name w:val="page number"/>
    <w:basedOn w:val="Noklusjumarindkopasfonts"/>
  </w:style>
  <w:style w:type="table" w:styleId="Reatabula">
    <w:name w:val="Table Grid"/>
    <w:basedOn w:val="Parastatabula"/>
    <w:rsid w:val="007D65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link w:val="BalontekstsRakstz"/>
    <w:rsid w:val="000C7716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rsid w:val="000C7716"/>
    <w:rPr>
      <w:rFonts w:ascii="Segoe UI" w:hAnsi="Segoe UI" w:cs="Segoe UI"/>
      <w:sz w:val="18"/>
      <w:szCs w:val="18"/>
    </w:rPr>
  </w:style>
  <w:style w:type="character" w:customStyle="1" w:styleId="GalveneRakstz">
    <w:name w:val="Galvene Rakstz."/>
    <w:basedOn w:val="Noklusjumarindkopasfonts"/>
    <w:link w:val="Galvene"/>
    <w:rsid w:val="004A3820"/>
    <w:rPr>
      <w:sz w:val="24"/>
      <w:szCs w:val="24"/>
    </w:rPr>
  </w:style>
  <w:style w:type="paragraph" w:styleId="Pamatteksts">
    <w:name w:val="Body Text"/>
    <w:basedOn w:val="Parasts"/>
    <w:link w:val="PamattekstsRakstz"/>
    <w:rsid w:val="004A3820"/>
    <w:rPr>
      <w:szCs w:val="20"/>
      <w:lang w:eastAsia="en-US"/>
    </w:rPr>
  </w:style>
  <w:style w:type="character" w:customStyle="1" w:styleId="PamattekstsRakstz">
    <w:name w:val="Pamatteksts Rakstz."/>
    <w:basedOn w:val="Noklusjumarindkopasfonts"/>
    <w:link w:val="Pamatteksts"/>
    <w:rsid w:val="004A3820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kumi.lv/ta/id/56812-par-palidzibu-dzivokla-jautajumu-risinasan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ikumi.lv/ta/id/56812-par-palidzibu-dzivokla-jautajumu-risinasan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likumi.lv/ta/id/56812-par-palidzibu-dzivokla-jautajumu-risinasan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ikumi.lv/ta/id/56812-par-palidzibu-dzivokla-jautajumu-risinasan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Dome\Kopejie\Veidlapas\IEST&#256;&#381;U%20KOP&#274;JAS%20VEIDLAPAS\1-3.2_Jelgavas_v-pilsetas_Saistosie_noteikumi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1-3.2_Jelgavas_v-pilsetas_Saistosie_noteikumi</Template>
  <TotalTime>35</TotalTime>
  <Pages>1</Pages>
  <Words>1124</Words>
  <Characters>642</Characters>
  <Application>Microsoft Office Word</Application>
  <DocSecurity>0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Signe Šmite</dc:creator>
  <cp:keywords/>
  <dc:description/>
  <cp:lastModifiedBy>Signe Šmite</cp:lastModifiedBy>
  <cp:revision>5</cp:revision>
  <cp:lastPrinted>2026-01-12T09:18:00Z</cp:lastPrinted>
  <dcterms:created xsi:type="dcterms:W3CDTF">2026-01-12T13:20:00Z</dcterms:created>
  <dcterms:modified xsi:type="dcterms:W3CDTF">2026-01-13T06:49:00Z</dcterms:modified>
</cp:coreProperties>
</file>