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2A7DB" w14:textId="77777777" w:rsidR="006B1EDF" w:rsidRPr="006B1EDF" w:rsidRDefault="006B1EDF" w:rsidP="006B1EDF">
      <w:pPr>
        <w:pStyle w:val="NormalWeb"/>
        <w:spacing w:before="0" w:beforeAutospacing="0" w:after="0" w:afterAutospacing="0"/>
        <w:ind w:left="4536"/>
        <w:rPr>
          <w:color w:val="000000"/>
        </w:rPr>
      </w:pPr>
      <w:r w:rsidRPr="006B1EDF">
        <w:rPr>
          <w:color w:val="000000"/>
        </w:rPr>
        <w:t>IZDOTS</w:t>
      </w:r>
    </w:p>
    <w:p w14:paraId="703E38E0" w14:textId="77777777" w:rsidR="006B1EDF" w:rsidRPr="006B1EDF" w:rsidRDefault="006B1EDF" w:rsidP="006B1EDF">
      <w:pPr>
        <w:pStyle w:val="NormalWeb"/>
        <w:spacing w:before="0" w:beforeAutospacing="0" w:after="0" w:afterAutospacing="0"/>
        <w:ind w:left="4536"/>
        <w:rPr>
          <w:color w:val="000000"/>
        </w:rPr>
      </w:pPr>
      <w:r w:rsidRPr="006B1EDF">
        <w:rPr>
          <w:color w:val="000000"/>
        </w:rPr>
        <w:t xml:space="preserve">Ar Jelgavas </w:t>
      </w:r>
      <w:proofErr w:type="spellStart"/>
      <w:r w:rsidRPr="006B1EDF">
        <w:rPr>
          <w:color w:val="000000"/>
        </w:rPr>
        <w:t>valstspilsētas</w:t>
      </w:r>
      <w:proofErr w:type="spellEnd"/>
      <w:r w:rsidRPr="006B1EDF">
        <w:rPr>
          <w:color w:val="000000"/>
        </w:rPr>
        <w:t xml:space="preserve"> pašvaldības domes</w:t>
      </w:r>
    </w:p>
    <w:p w14:paraId="1E18CBAF" w14:textId="7E6BE8C6" w:rsidR="006B1EDF" w:rsidRDefault="007512D9" w:rsidP="006B1EDF">
      <w:pPr>
        <w:pStyle w:val="NormalWeb"/>
        <w:spacing w:before="0" w:beforeAutospacing="0" w:after="0" w:afterAutospacing="0"/>
        <w:ind w:left="4536"/>
        <w:rPr>
          <w:color w:val="000000"/>
        </w:rPr>
      </w:pPr>
      <w:r w:rsidRPr="006B1EDF">
        <w:rPr>
          <w:color w:val="000000"/>
        </w:rPr>
        <w:t>202</w:t>
      </w:r>
      <w:r w:rsidR="00EA6376">
        <w:rPr>
          <w:color w:val="000000"/>
        </w:rPr>
        <w:t>6</w:t>
      </w:r>
      <w:r w:rsidR="006B1EDF" w:rsidRPr="006B1EDF">
        <w:rPr>
          <w:color w:val="000000"/>
        </w:rPr>
        <w:t xml:space="preserve">. gada </w:t>
      </w:r>
      <w:r w:rsidR="009B19AF">
        <w:rPr>
          <w:color w:val="000000"/>
        </w:rPr>
        <w:t>5.</w:t>
      </w:r>
      <w:r w:rsidR="00F01A4E">
        <w:rPr>
          <w:color w:val="000000"/>
        </w:rPr>
        <w:t xml:space="preserve"> </w:t>
      </w:r>
      <w:r w:rsidR="009B19AF">
        <w:rPr>
          <w:color w:val="000000"/>
        </w:rPr>
        <w:t>marta</w:t>
      </w:r>
      <w:r w:rsidR="006B1EDF" w:rsidRPr="006B1EDF">
        <w:rPr>
          <w:color w:val="000000"/>
        </w:rPr>
        <w:t xml:space="preserve"> lēmumu Nr</w:t>
      </w:r>
      <w:r w:rsidR="006107EC">
        <w:rPr>
          <w:color w:val="000000"/>
        </w:rPr>
        <w:t>.</w:t>
      </w:r>
      <w:r w:rsidR="00403C48">
        <w:rPr>
          <w:color w:val="000000"/>
        </w:rPr>
        <w:t>5/6</w:t>
      </w:r>
    </w:p>
    <w:p w14:paraId="7A258348" w14:textId="77777777" w:rsidR="002B44F1" w:rsidRDefault="002B44F1" w:rsidP="006B1EDF">
      <w:pPr>
        <w:pStyle w:val="NormalWeb"/>
        <w:spacing w:before="0" w:beforeAutospacing="0" w:after="0" w:afterAutospacing="0"/>
        <w:ind w:left="4536"/>
        <w:rPr>
          <w:color w:val="000000"/>
        </w:rPr>
      </w:pPr>
    </w:p>
    <w:p w14:paraId="2B5C9A9C" w14:textId="77777777" w:rsidR="00EA6376" w:rsidRDefault="00EA6376" w:rsidP="00EA6376">
      <w:pPr>
        <w:jc w:val="center"/>
        <w:rPr>
          <w:b/>
          <w:bCs/>
          <w:caps/>
        </w:rPr>
      </w:pPr>
      <w:r>
        <w:rPr>
          <w:b/>
          <w:bCs/>
          <w:caps/>
        </w:rPr>
        <w:t>JELGAVAS VALSTSPILSĒTAS PAŠVALDĪBAS PROGRAMMAS</w:t>
      </w:r>
    </w:p>
    <w:p w14:paraId="6981F531" w14:textId="77777777" w:rsidR="00EA6376" w:rsidRDefault="00EA6376" w:rsidP="00EA6376">
      <w:pPr>
        <w:jc w:val="center"/>
        <w:rPr>
          <w:b/>
          <w:bCs/>
          <w:caps/>
        </w:rPr>
      </w:pPr>
      <w:r>
        <w:rPr>
          <w:b/>
          <w:bCs/>
          <w:caps/>
        </w:rPr>
        <w:t>“jELGAVAS MEDIJU ATBALSTA PROGRAMMA”</w:t>
      </w:r>
    </w:p>
    <w:p w14:paraId="052A9B5B" w14:textId="6E267A53" w:rsidR="005F450A" w:rsidRDefault="00EA6376" w:rsidP="00EA6376">
      <w:pPr>
        <w:jc w:val="center"/>
      </w:pPr>
      <w:r>
        <w:rPr>
          <w:b/>
          <w:bCs/>
          <w:caps/>
        </w:rPr>
        <w:t>ATKLĀTU PROJEKTU KONKURSU NOLIKUMS</w:t>
      </w:r>
    </w:p>
    <w:p w14:paraId="4E969A12" w14:textId="77777777" w:rsidR="006B1EDF" w:rsidRPr="00853BCD" w:rsidRDefault="006B1EDF" w:rsidP="006B1EDF">
      <w:pPr>
        <w:ind w:left="720" w:firstLine="720"/>
        <w:jc w:val="center"/>
        <w:rPr>
          <w:b/>
          <w:bCs/>
          <w:caps/>
        </w:rPr>
      </w:pPr>
      <w:r w:rsidRPr="00853BCD">
        <w:t xml:space="preserve">    </w:t>
      </w:r>
      <w:r w:rsidRPr="00853BCD">
        <w:tab/>
      </w:r>
      <w:r w:rsidRPr="00853BCD">
        <w:tab/>
      </w:r>
    </w:p>
    <w:p w14:paraId="02A17E3B" w14:textId="77777777" w:rsidR="006B1EDF" w:rsidRDefault="006B1EDF" w:rsidP="00F01A4E">
      <w:pPr>
        <w:pStyle w:val="ListParagraph"/>
        <w:numPr>
          <w:ilvl w:val="0"/>
          <w:numId w:val="2"/>
        </w:numPr>
        <w:ind w:left="567" w:hanging="207"/>
        <w:jc w:val="center"/>
        <w:rPr>
          <w:b/>
          <w:bCs/>
          <w:caps/>
        </w:rPr>
      </w:pPr>
      <w:r w:rsidRPr="00853BCD">
        <w:rPr>
          <w:b/>
          <w:bCs/>
          <w:caps/>
        </w:rPr>
        <w:t>Vispārīgie JAUTĀJUMI</w:t>
      </w:r>
    </w:p>
    <w:p w14:paraId="3BFF9130" w14:textId="77777777" w:rsidR="00A72E7B" w:rsidRPr="00A72E7B" w:rsidRDefault="00A72E7B" w:rsidP="00A72E7B">
      <w:pPr>
        <w:jc w:val="center"/>
        <w:rPr>
          <w:b/>
          <w:bCs/>
          <w:caps/>
        </w:rPr>
      </w:pPr>
    </w:p>
    <w:p w14:paraId="32073988" w14:textId="6D126F3D" w:rsidR="00A72E7B" w:rsidRDefault="00A72E7B" w:rsidP="00A72E7B">
      <w:pPr>
        <w:pStyle w:val="ListParagraph"/>
        <w:numPr>
          <w:ilvl w:val="1"/>
          <w:numId w:val="11"/>
        </w:numPr>
        <w:overflowPunct w:val="0"/>
        <w:autoSpaceDE w:val="0"/>
        <w:autoSpaceDN w:val="0"/>
        <w:adjustRightInd w:val="0"/>
        <w:jc w:val="both"/>
        <w:textAlignment w:val="baseline"/>
      </w:pPr>
      <w:r>
        <w:t>N</w:t>
      </w:r>
      <w:r w:rsidRPr="005432D3">
        <w:t xml:space="preserve">olikums </w:t>
      </w:r>
      <w:r w:rsidR="0096131A">
        <w:t xml:space="preserve">(turpmāk – nolikums) </w:t>
      </w:r>
      <w:r w:rsidRPr="005432D3">
        <w:t xml:space="preserve">nosaka kārtību, kādā Jelgavas </w:t>
      </w:r>
      <w:proofErr w:type="spellStart"/>
      <w:r w:rsidRPr="005432D3">
        <w:t>valstspilsētas</w:t>
      </w:r>
      <w:proofErr w:type="spellEnd"/>
      <w:r w:rsidRPr="005432D3">
        <w:t xml:space="preserve"> pašvaldība (turpmāk – </w:t>
      </w:r>
      <w:r w:rsidR="00214CC4">
        <w:t>P</w:t>
      </w:r>
      <w:r w:rsidRPr="005432D3">
        <w:t xml:space="preserve">ašvaldība) piešķir finansējumu </w:t>
      </w:r>
      <w:r w:rsidR="00FC3816">
        <w:t xml:space="preserve">(turpmāk – Finansējums) </w:t>
      </w:r>
      <w:r w:rsidRPr="005432D3">
        <w:t>mediju</w:t>
      </w:r>
      <w:r>
        <w:t>,</w:t>
      </w:r>
      <w:r w:rsidRPr="005432D3">
        <w:t xml:space="preserve"> kuru veidotais saturs un izplatīšanas kanāli ir primāri vērsti uz Jelgavas </w:t>
      </w:r>
      <w:proofErr w:type="spellStart"/>
      <w:r w:rsidRPr="005432D3">
        <w:t>valstspilsētas</w:t>
      </w:r>
      <w:proofErr w:type="spellEnd"/>
      <w:r w:rsidRPr="005432D3">
        <w:t xml:space="preserve"> iedzīvotāju mērķauditoriju</w:t>
      </w:r>
      <w:r w:rsidR="00B41CC0">
        <w:t>,</w:t>
      </w:r>
      <w:r w:rsidRPr="005432D3">
        <w:t xml:space="preserve"> </w:t>
      </w:r>
      <w:r>
        <w:t>atbalstam</w:t>
      </w:r>
      <w:r w:rsidRPr="005432D3" w:rsidDel="005A10CD">
        <w:t xml:space="preserve"> </w:t>
      </w:r>
      <w:r w:rsidRPr="005432D3">
        <w:t>(turpmāk – Programma).</w:t>
      </w:r>
    </w:p>
    <w:p w14:paraId="033EA2DD" w14:textId="77777777" w:rsidR="00A72E7B" w:rsidRDefault="00A72E7B" w:rsidP="00A72E7B">
      <w:pPr>
        <w:pStyle w:val="ListParagraph"/>
        <w:numPr>
          <w:ilvl w:val="1"/>
          <w:numId w:val="11"/>
        </w:numPr>
        <w:overflowPunct w:val="0"/>
        <w:autoSpaceDE w:val="0"/>
        <w:autoSpaceDN w:val="0"/>
        <w:adjustRightInd w:val="0"/>
        <w:jc w:val="both"/>
        <w:textAlignment w:val="baseline"/>
      </w:pPr>
      <w:r w:rsidRPr="005432D3">
        <w:t xml:space="preserve">Programmas mērķis ir stiprināt neatkarīgu, sabiedrības interesēm atbilstošu un redakcionāli autonomu žurnālistiku Jelgavā, ievērojot </w:t>
      </w:r>
      <w:r>
        <w:t xml:space="preserve">Latvijas Republikas </w:t>
      </w:r>
      <w:r w:rsidRPr="005432D3">
        <w:t>Satversmes 100. pantā nostiprināto vārda brīvību.</w:t>
      </w:r>
    </w:p>
    <w:p w14:paraId="03A67414" w14:textId="1631AE4D" w:rsidR="008F7E0E" w:rsidRPr="008F7E0E" w:rsidRDefault="008F7E0E" w:rsidP="000B1493">
      <w:pPr>
        <w:pStyle w:val="ListParagraph"/>
        <w:numPr>
          <w:ilvl w:val="1"/>
          <w:numId w:val="11"/>
        </w:numPr>
        <w:jc w:val="both"/>
      </w:pPr>
      <w:r>
        <w:t>F</w:t>
      </w:r>
      <w:r w:rsidRPr="008F7E0E">
        <w:t>inansējuma p</w:t>
      </w:r>
      <w:r w:rsidR="00FC3816">
        <w:t>iešķiršanai Pašvaldība organizē</w:t>
      </w:r>
      <w:r w:rsidRPr="008F7E0E">
        <w:t xml:space="preserve"> atklātu konkursu (turpmāk - Konkurss), izsludinot to vietējos plašsaziņas līdzekļos, kā arī Jelgavas </w:t>
      </w:r>
      <w:proofErr w:type="spellStart"/>
      <w:r w:rsidRPr="008F7E0E">
        <w:t>valstspilsētas</w:t>
      </w:r>
      <w:proofErr w:type="spellEnd"/>
      <w:r w:rsidRPr="008F7E0E">
        <w:t xml:space="preserve"> pašvaldības oficiālajā tīmekļvietnē </w:t>
      </w:r>
      <w:hyperlink r:id="rId7" w:history="1">
        <w:r w:rsidR="00FC3816" w:rsidRPr="00B42CE0">
          <w:rPr>
            <w:rStyle w:val="Hyperlink"/>
          </w:rPr>
          <w:t>www.jelgava.lv</w:t>
        </w:r>
      </w:hyperlink>
      <w:r w:rsidR="00FC3816">
        <w:t xml:space="preserve"> </w:t>
      </w:r>
      <w:r w:rsidRPr="008F7E0E">
        <w:t xml:space="preserve">ne mazāk kā 30 dienas pirms </w:t>
      </w:r>
      <w:r w:rsidR="000B1493">
        <w:t xml:space="preserve">projektu </w:t>
      </w:r>
      <w:r w:rsidRPr="008F7E0E">
        <w:t xml:space="preserve">pieteikumu </w:t>
      </w:r>
      <w:r w:rsidR="000B1493" w:rsidRPr="000B1493">
        <w:t xml:space="preserve">(turpmāk – projekts) </w:t>
      </w:r>
      <w:r w:rsidRPr="008F7E0E">
        <w:t xml:space="preserve">iesniegšanas termiņa. Konkursu var izsludināt vienu vai vairākas reizes gadā atkarībā no finanšu līdzekļu apjoma. </w:t>
      </w:r>
    </w:p>
    <w:p w14:paraId="6AF81C76" w14:textId="7FE48B31" w:rsidR="002A2D36" w:rsidRPr="002A2D36" w:rsidRDefault="002A2D36" w:rsidP="002A2D36">
      <w:pPr>
        <w:pStyle w:val="ListParagraph"/>
        <w:numPr>
          <w:ilvl w:val="1"/>
          <w:numId w:val="11"/>
        </w:numPr>
      </w:pPr>
      <w:r w:rsidRPr="002A2D36">
        <w:t xml:space="preserve">Finanšu līdzekļi </w:t>
      </w:r>
      <w:r>
        <w:t xml:space="preserve">Programmas </w:t>
      </w:r>
      <w:r w:rsidRPr="002A2D36">
        <w:t xml:space="preserve"> </w:t>
      </w:r>
      <w:r>
        <w:t xml:space="preserve">īstenošanai </w:t>
      </w:r>
      <w:r w:rsidRPr="002A2D36">
        <w:t xml:space="preserve">katram budžeta gadam tiek piešķirti saskaņā ar apstiprināto “Jelgavas </w:t>
      </w:r>
      <w:proofErr w:type="spellStart"/>
      <w:r w:rsidRPr="002A2D36">
        <w:t>valstspilsētas</w:t>
      </w:r>
      <w:proofErr w:type="spellEnd"/>
      <w:r w:rsidRPr="002A2D36">
        <w:t xml:space="preserve"> pašvaldības budžetu kārtējam gadam”.</w:t>
      </w:r>
    </w:p>
    <w:p w14:paraId="668F1EEB" w14:textId="77777777" w:rsidR="002A2D36" w:rsidRPr="002A2D36" w:rsidRDefault="002A2D36" w:rsidP="002A2D36">
      <w:pPr>
        <w:jc w:val="both"/>
        <w:rPr>
          <w:i/>
        </w:rPr>
      </w:pPr>
    </w:p>
    <w:p w14:paraId="5DEDA801" w14:textId="5BD74D60" w:rsidR="002A2D36" w:rsidRDefault="002A2D36" w:rsidP="00F01A4E">
      <w:pPr>
        <w:pStyle w:val="ListParagraph"/>
        <w:numPr>
          <w:ilvl w:val="0"/>
          <w:numId w:val="2"/>
        </w:numPr>
        <w:ind w:left="709" w:hanging="349"/>
        <w:jc w:val="center"/>
        <w:rPr>
          <w:b/>
          <w:caps/>
        </w:rPr>
      </w:pPr>
      <w:r>
        <w:rPr>
          <w:b/>
          <w:caps/>
        </w:rPr>
        <w:t>PROGRAMMAS MĒ</w:t>
      </w:r>
      <w:r w:rsidR="00D55AA2">
        <w:rPr>
          <w:b/>
          <w:caps/>
        </w:rPr>
        <w:t>r</w:t>
      </w:r>
      <w:r>
        <w:rPr>
          <w:b/>
          <w:caps/>
        </w:rPr>
        <w:t>ĶI</w:t>
      </w:r>
      <w:r w:rsidR="006E6563">
        <w:rPr>
          <w:b/>
          <w:caps/>
        </w:rPr>
        <w:t>s</w:t>
      </w:r>
      <w:r>
        <w:rPr>
          <w:b/>
          <w:caps/>
        </w:rPr>
        <w:t xml:space="preserve"> </w:t>
      </w:r>
    </w:p>
    <w:p w14:paraId="019D3984" w14:textId="77777777" w:rsidR="00F01A4E" w:rsidRDefault="00F01A4E" w:rsidP="00F01A4E">
      <w:pPr>
        <w:pStyle w:val="ListParagraph"/>
        <w:ind w:left="1080"/>
        <w:rPr>
          <w:b/>
          <w:caps/>
        </w:rPr>
      </w:pPr>
    </w:p>
    <w:p w14:paraId="075E0479" w14:textId="63F592B4" w:rsidR="00900454" w:rsidRDefault="002A2D36" w:rsidP="00F01A4E">
      <w:pPr>
        <w:pStyle w:val="ListParagraph"/>
        <w:numPr>
          <w:ilvl w:val="1"/>
          <w:numId w:val="11"/>
        </w:numPr>
        <w:overflowPunct w:val="0"/>
        <w:autoSpaceDE w:val="0"/>
        <w:autoSpaceDN w:val="0"/>
        <w:adjustRightInd w:val="0"/>
        <w:ind w:left="284" w:hanging="284"/>
        <w:jc w:val="both"/>
        <w:textAlignment w:val="baseline"/>
      </w:pPr>
      <w:r w:rsidRPr="005432D3">
        <w:t>Programmas mērķi</w:t>
      </w:r>
      <w:r w:rsidR="006E6563">
        <w:t>s:</w:t>
      </w:r>
    </w:p>
    <w:p w14:paraId="78C3DDA2" w14:textId="1080AB51" w:rsidR="002A2D36" w:rsidRDefault="00FC3816" w:rsidP="00900454">
      <w:pPr>
        <w:pStyle w:val="ListParagraph"/>
        <w:numPr>
          <w:ilvl w:val="1"/>
          <w:numId w:val="29"/>
        </w:numPr>
        <w:overflowPunct w:val="0"/>
        <w:autoSpaceDE w:val="0"/>
        <w:autoSpaceDN w:val="0"/>
        <w:adjustRightInd w:val="0"/>
        <w:jc w:val="both"/>
        <w:textAlignment w:val="baseline"/>
      </w:pPr>
      <w:r>
        <w:t xml:space="preserve"> </w:t>
      </w:r>
      <w:r w:rsidR="002A2D36" w:rsidRPr="005432D3">
        <w:t>veicināt Jelgavas iedzīvotāju informētību par sabiedriski nozīmīgiem procesiem pilsētā;</w:t>
      </w:r>
    </w:p>
    <w:p w14:paraId="0A63E03B" w14:textId="36459178" w:rsidR="00827E1E" w:rsidRDefault="00FC3816" w:rsidP="00900454">
      <w:pPr>
        <w:pStyle w:val="ListParagraph"/>
        <w:numPr>
          <w:ilvl w:val="1"/>
          <w:numId w:val="29"/>
        </w:numPr>
        <w:overflowPunct w:val="0"/>
        <w:autoSpaceDE w:val="0"/>
        <w:autoSpaceDN w:val="0"/>
        <w:adjustRightInd w:val="0"/>
        <w:jc w:val="both"/>
        <w:textAlignment w:val="baseline"/>
      </w:pPr>
      <w:r>
        <w:t xml:space="preserve"> </w:t>
      </w:r>
      <w:r w:rsidR="00827E1E" w:rsidRPr="005432D3">
        <w:t>stiprināt mediju neatkarību un profesionālo žurnālistiku;</w:t>
      </w:r>
    </w:p>
    <w:p w14:paraId="0D1A7C5A" w14:textId="235DB25F" w:rsidR="002A2D36" w:rsidRDefault="00FC3816" w:rsidP="00900454">
      <w:pPr>
        <w:pStyle w:val="ListParagraph"/>
        <w:numPr>
          <w:ilvl w:val="1"/>
          <w:numId w:val="29"/>
        </w:numPr>
        <w:overflowPunct w:val="0"/>
        <w:autoSpaceDE w:val="0"/>
        <w:autoSpaceDN w:val="0"/>
        <w:adjustRightInd w:val="0"/>
        <w:jc w:val="both"/>
        <w:textAlignment w:val="baseline"/>
      </w:pPr>
      <w:r>
        <w:t xml:space="preserve"> </w:t>
      </w:r>
      <w:r w:rsidR="00827E1E" w:rsidRPr="005432D3">
        <w:t>nodrošināt kvalitatīva satura pieejamību drukātajos, digitālajos un sociālo tīklu kanālos;</w:t>
      </w:r>
    </w:p>
    <w:p w14:paraId="33DFE0B5" w14:textId="651C1E74" w:rsidR="002A2D36" w:rsidRDefault="00FC3816" w:rsidP="00900454">
      <w:pPr>
        <w:pStyle w:val="ListParagraph"/>
        <w:numPr>
          <w:ilvl w:val="1"/>
          <w:numId w:val="29"/>
        </w:numPr>
        <w:overflowPunct w:val="0"/>
        <w:autoSpaceDE w:val="0"/>
        <w:autoSpaceDN w:val="0"/>
        <w:adjustRightInd w:val="0"/>
        <w:jc w:val="both"/>
        <w:textAlignment w:val="baseline"/>
      </w:pPr>
      <w:r>
        <w:t xml:space="preserve"> </w:t>
      </w:r>
      <w:r w:rsidR="00827E1E" w:rsidRPr="005432D3">
        <w:t>veicināt sabiedrības saliedētību, kritisko domāšanu un līdzdalību vietējās demokrātijas procesos.</w:t>
      </w:r>
    </w:p>
    <w:p w14:paraId="4FC7B671" w14:textId="77777777" w:rsidR="006E6563" w:rsidRDefault="006E6563" w:rsidP="00F01A4E">
      <w:pPr>
        <w:pStyle w:val="ListParagraph"/>
        <w:numPr>
          <w:ilvl w:val="1"/>
          <w:numId w:val="11"/>
        </w:numPr>
        <w:overflowPunct w:val="0"/>
        <w:autoSpaceDE w:val="0"/>
        <w:autoSpaceDN w:val="0"/>
        <w:adjustRightInd w:val="0"/>
        <w:ind w:left="284" w:hanging="284"/>
        <w:jc w:val="both"/>
        <w:textAlignment w:val="baseline"/>
      </w:pPr>
      <w:r>
        <w:t xml:space="preserve"> </w:t>
      </w:r>
      <w:r w:rsidR="002A2D36" w:rsidRPr="005432D3">
        <w:t>Atbalstāmie satura virzieni:</w:t>
      </w:r>
    </w:p>
    <w:p w14:paraId="08648950" w14:textId="761DDAD9" w:rsidR="002A2D36" w:rsidRDefault="006E6563" w:rsidP="00900454">
      <w:pPr>
        <w:pStyle w:val="ListParagraph"/>
        <w:numPr>
          <w:ilvl w:val="1"/>
          <w:numId w:val="30"/>
        </w:numPr>
        <w:overflowPunct w:val="0"/>
        <w:autoSpaceDE w:val="0"/>
        <w:autoSpaceDN w:val="0"/>
        <w:adjustRightInd w:val="0"/>
        <w:jc w:val="both"/>
        <w:textAlignment w:val="baseline"/>
      </w:pPr>
      <w:r>
        <w:t xml:space="preserve"> </w:t>
      </w:r>
      <w:r w:rsidR="002A2D36" w:rsidRPr="005432D3">
        <w:t>pilsētas pārvaldības, sabiedrisko iniciatīvu un attīstības jautājumi;</w:t>
      </w:r>
    </w:p>
    <w:p w14:paraId="13F46C66" w14:textId="2838D0B1" w:rsidR="002A2D36" w:rsidRDefault="00900454" w:rsidP="00900454">
      <w:pPr>
        <w:pStyle w:val="ListParagraph"/>
        <w:numPr>
          <w:ilvl w:val="1"/>
          <w:numId w:val="30"/>
        </w:numPr>
        <w:overflowPunct w:val="0"/>
        <w:autoSpaceDE w:val="0"/>
        <w:autoSpaceDN w:val="0"/>
        <w:adjustRightInd w:val="0"/>
        <w:jc w:val="both"/>
        <w:textAlignment w:val="baseline"/>
      </w:pPr>
      <w:r>
        <w:t xml:space="preserve"> </w:t>
      </w:r>
      <w:r w:rsidR="002A2D36" w:rsidRPr="005432D3">
        <w:t>sociālā, izglītības, kultūras un veselības tematika;</w:t>
      </w:r>
    </w:p>
    <w:p w14:paraId="22EF5096" w14:textId="433373E2" w:rsidR="002A2D36" w:rsidRDefault="006E6563" w:rsidP="00900454">
      <w:pPr>
        <w:pStyle w:val="ListParagraph"/>
        <w:numPr>
          <w:ilvl w:val="1"/>
          <w:numId w:val="30"/>
        </w:numPr>
        <w:overflowPunct w:val="0"/>
        <w:autoSpaceDE w:val="0"/>
        <w:autoSpaceDN w:val="0"/>
        <w:adjustRightInd w:val="0"/>
        <w:jc w:val="both"/>
        <w:textAlignment w:val="baseline"/>
      </w:pPr>
      <w:r>
        <w:t xml:space="preserve"> </w:t>
      </w:r>
      <w:r w:rsidR="002A2D36" w:rsidRPr="005432D3">
        <w:t>uzņēmējdarbības un pilsētas infrastruktūras attīstība;</w:t>
      </w:r>
    </w:p>
    <w:p w14:paraId="51F34190" w14:textId="54652572" w:rsidR="002A2D36" w:rsidRPr="005432D3" w:rsidRDefault="00307A9C" w:rsidP="00900454">
      <w:pPr>
        <w:pStyle w:val="ListParagraph"/>
        <w:numPr>
          <w:ilvl w:val="1"/>
          <w:numId w:val="30"/>
        </w:numPr>
        <w:overflowPunct w:val="0"/>
        <w:autoSpaceDE w:val="0"/>
        <w:autoSpaceDN w:val="0"/>
        <w:adjustRightInd w:val="0"/>
        <w:jc w:val="both"/>
        <w:textAlignment w:val="baseline"/>
      </w:pPr>
      <w:r>
        <w:t xml:space="preserve"> </w:t>
      </w:r>
      <w:r w:rsidR="002A2D36" w:rsidRPr="005432D3">
        <w:t>sabiedrības iesaiste un pilsoniskā līdzdalība.</w:t>
      </w:r>
    </w:p>
    <w:p w14:paraId="42135C2E" w14:textId="23482B5F" w:rsidR="002A2D36" w:rsidRPr="002A2D36" w:rsidRDefault="002A2D36" w:rsidP="006E6563">
      <w:pPr>
        <w:pStyle w:val="ListParagraph"/>
        <w:ind w:left="360"/>
        <w:rPr>
          <w:b/>
          <w:caps/>
        </w:rPr>
      </w:pPr>
    </w:p>
    <w:p w14:paraId="2EADFE01" w14:textId="6BB9FFE9" w:rsidR="006B1EDF" w:rsidRDefault="007762CA" w:rsidP="00F01A4E">
      <w:pPr>
        <w:pStyle w:val="ListParagraph"/>
        <w:numPr>
          <w:ilvl w:val="0"/>
          <w:numId w:val="2"/>
        </w:numPr>
        <w:ind w:left="851" w:hanging="491"/>
        <w:jc w:val="center"/>
        <w:rPr>
          <w:b/>
          <w:caps/>
        </w:rPr>
      </w:pPr>
      <w:r w:rsidRPr="005374E1">
        <w:rPr>
          <w:b/>
          <w:caps/>
        </w:rPr>
        <w:t xml:space="preserve">FINANSĒJUMA </w:t>
      </w:r>
      <w:r w:rsidR="006E6563">
        <w:rPr>
          <w:b/>
          <w:caps/>
        </w:rPr>
        <w:t xml:space="preserve">APMĒRS UN </w:t>
      </w:r>
      <w:r w:rsidRPr="005374E1">
        <w:rPr>
          <w:b/>
          <w:caps/>
        </w:rPr>
        <w:t>PIEŠĶIRŠANAS NOSACĪJUMI</w:t>
      </w:r>
    </w:p>
    <w:p w14:paraId="755C7CA4" w14:textId="77777777" w:rsidR="00F01A4E" w:rsidRDefault="00F01A4E" w:rsidP="00F01A4E">
      <w:pPr>
        <w:pStyle w:val="ListParagraph"/>
        <w:ind w:left="851"/>
        <w:rPr>
          <w:b/>
          <w:caps/>
        </w:rPr>
      </w:pPr>
    </w:p>
    <w:p w14:paraId="18A76374" w14:textId="03834EF4" w:rsidR="008F7E0E" w:rsidRPr="00900454" w:rsidRDefault="009B005B" w:rsidP="008F17B3">
      <w:pPr>
        <w:pStyle w:val="ListParagraph"/>
        <w:numPr>
          <w:ilvl w:val="1"/>
          <w:numId w:val="11"/>
        </w:numPr>
        <w:jc w:val="both"/>
        <w:rPr>
          <w:b/>
          <w:caps/>
        </w:rPr>
      </w:pPr>
      <w:r w:rsidRPr="005374E1">
        <w:t xml:space="preserve">Uz </w:t>
      </w:r>
      <w:r w:rsidR="008F17B3">
        <w:t>f</w:t>
      </w:r>
      <w:r w:rsidRPr="005374E1">
        <w:t xml:space="preserve">inansējumu var pretendēt </w:t>
      </w:r>
      <w:r w:rsidR="008F17B3">
        <w:t>mediji</w:t>
      </w:r>
      <w:r w:rsidR="008F7E0E" w:rsidRPr="008F7E0E">
        <w:t xml:space="preserve"> </w:t>
      </w:r>
      <w:r w:rsidR="008F7E0E">
        <w:t>(turpmāk – Pretendents), kuri</w:t>
      </w:r>
      <w:r w:rsidR="008F7E0E" w:rsidRPr="005374E1">
        <w:t xml:space="preserve"> </w:t>
      </w:r>
      <w:r w:rsidR="008F7E0E">
        <w:t>Pašvaldībā iesniedz projekta pieteikumu</w:t>
      </w:r>
      <w:r w:rsidR="000B1493">
        <w:t xml:space="preserve"> </w:t>
      </w:r>
      <w:r w:rsidR="008F7E0E">
        <w:t>(1.pielikums),</w:t>
      </w:r>
      <w:r w:rsidR="000E2D8E">
        <w:t xml:space="preserve"> </w:t>
      </w:r>
      <w:r w:rsidR="005773AA" w:rsidRPr="005773AA">
        <w:t xml:space="preserve">projekta </w:t>
      </w:r>
      <w:r w:rsidR="00900454">
        <w:t>tāmi</w:t>
      </w:r>
      <w:r w:rsidR="005773AA">
        <w:t xml:space="preserve"> </w:t>
      </w:r>
      <w:r w:rsidR="00900454">
        <w:t xml:space="preserve">(2.pielikums), </w:t>
      </w:r>
      <w:r w:rsidR="008F7E0E" w:rsidRPr="005374E1">
        <w:t xml:space="preserve">atbilst </w:t>
      </w:r>
      <w:r w:rsidR="008F7E0E">
        <w:t>nolikumā</w:t>
      </w:r>
      <w:r w:rsidR="008F7E0E" w:rsidRPr="005374E1">
        <w:t xml:space="preserve"> noteiktām prasībām un šādiem kritērijiem:</w:t>
      </w:r>
    </w:p>
    <w:p w14:paraId="7AEA508F" w14:textId="77777777" w:rsidR="00876D36" w:rsidRPr="000D118D" w:rsidRDefault="00900454" w:rsidP="00900454">
      <w:pPr>
        <w:pStyle w:val="ListParagraph"/>
        <w:numPr>
          <w:ilvl w:val="1"/>
          <w:numId w:val="31"/>
        </w:numPr>
        <w:jc w:val="both"/>
        <w:rPr>
          <w:b/>
          <w:caps/>
        </w:rPr>
      </w:pPr>
      <w:r>
        <w:rPr>
          <w:b/>
          <w:caps/>
        </w:rPr>
        <w:t xml:space="preserve"> </w:t>
      </w:r>
      <w:r w:rsidR="008F7E0E">
        <w:t xml:space="preserve"> </w:t>
      </w:r>
      <w:r w:rsidR="00DE3C3B" w:rsidRPr="000D118D">
        <w:t>Pretendents ir</w:t>
      </w:r>
      <w:r w:rsidR="00876D36" w:rsidRPr="000D118D">
        <w:t>:</w:t>
      </w:r>
    </w:p>
    <w:p w14:paraId="7458E1EC" w14:textId="74BB3CC5" w:rsidR="00DE3C3B" w:rsidRPr="000D118D" w:rsidRDefault="00DE3C3B" w:rsidP="00876D36">
      <w:pPr>
        <w:pStyle w:val="ListParagraph"/>
        <w:numPr>
          <w:ilvl w:val="2"/>
          <w:numId w:val="31"/>
        </w:numPr>
        <w:jc w:val="both"/>
        <w:rPr>
          <w:b/>
          <w:caps/>
        </w:rPr>
      </w:pPr>
      <w:r w:rsidRPr="000D118D">
        <w:lastRenderedPageBreak/>
        <w:t>mediju uzņēmums</w:t>
      </w:r>
      <w:r w:rsidR="00CD5089" w:rsidRPr="000D118D">
        <w:t>, kas reģistrēts</w:t>
      </w:r>
      <w:r w:rsidRPr="000D118D">
        <w:t xml:space="preserve"> kā preses izdevuma vai interneta vietnes īpašnieks saskaņā ar likumu “Par presi un citiem masu informācijas līdzekļiem” un pastāvīgi veido redakcionāli </w:t>
      </w:r>
      <w:r w:rsidR="000B1493" w:rsidRPr="000D118D">
        <w:t>neatkarīgu žurnālistikas saturu, vai</w:t>
      </w:r>
    </w:p>
    <w:p w14:paraId="19867446" w14:textId="2EAE4EDB" w:rsidR="00DE3C3B" w:rsidRPr="000D118D" w:rsidRDefault="00900454" w:rsidP="000B1493">
      <w:pPr>
        <w:pStyle w:val="ListParagraph"/>
        <w:numPr>
          <w:ilvl w:val="2"/>
          <w:numId w:val="31"/>
        </w:numPr>
        <w:jc w:val="both"/>
        <w:rPr>
          <w:b/>
          <w:caps/>
        </w:rPr>
      </w:pPr>
      <w:r w:rsidRPr="000D118D">
        <w:t>j</w:t>
      </w:r>
      <w:r w:rsidR="00DE3C3B" w:rsidRPr="000D118D">
        <w:t xml:space="preserve">uridiska persona, kas ir individuālu mediju projektu </w:t>
      </w:r>
      <w:r w:rsidR="00CD5089" w:rsidRPr="000D118D">
        <w:t>veidotājs</w:t>
      </w:r>
      <w:r w:rsidR="00DE3C3B" w:rsidRPr="000D118D">
        <w:t>;</w:t>
      </w:r>
    </w:p>
    <w:p w14:paraId="0A226D3E" w14:textId="1C1A4C7F" w:rsidR="00900454" w:rsidRPr="00900454" w:rsidRDefault="00900454" w:rsidP="00900454">
      <w:pPr>
        <w:pStyle w:val="ListParagraph"/>
        <w:numPr>
          <w:ilvl w:val="1"/>
          <w:numId w:val="31"/>
        </w:numPr>
        <w:jc w:val="both"/>
        <w:rPr>
          <w:b/>
          <w:caps/>
        </w:rPr>
      </w:pPr>
      <w:r>
        <w:t xml:space="preserve"> </w:t>
      </w:r>
      <w:r w:rsidR="00CD5089">
        <w:t>Pretendenta</w:t>
      </w:r>
      <w:r w:rsidR="008F7E0E">
        <w:t xml:space="preserve"> radītais saturs ir orientēts uz Jelgavas </w:t>
      </w:r>
      <w:proofErr w:type="spellStart"/>
      <w:r w:rsidR="008F7E0E">
        <w:t>valstspilsētas</w:t>
      </w:r>
      <w:proofErr w:type="spellEnd"/>
      <w:r w:rsidR="008F7E0E">
        <w:t xml:space="preserve"> pašvaldības iedzīvotājiem;</w:t>
      </w:r>
    </w:p>
    <w:p w14:paraId="695E1FBD" w14:textId="7B16C1C6" w:rsidR="00900454" w:rsidRPr="00900454" w:rsidRDefault="00DE3C3B" w:rsidP="00900454">
      <w:pPr>
        <w:pStyle w:val="ListParagraph"/>
        <w:numPr>
          <w:ilvl w:val="1"/>
          <w:numId w:val="31"/>
        </w:numPr>
        <w:jc w:val="both"/>
        <w:rPr>
          <w:b/>
          <w:caps/>
        </w:rPr>
      </w:pPr>
      <w:r>
        <w:t>Pretendentam</w:t>
      </w:r>
      <w:r w:rsidR="008F7E0E">
        <w:t xml:space="preserve"> </w:t>
      </w:r>
      <w:r w:rsidR="008F7E0E" w:rsidRPr="008F7E0E">
        <w:t xml:space="preserve">nav nodokļu un citu valsts vai pašvaldību noteikto obligāto maksājumu parāda, kas pārsniedz 150 </w:t>
      </w:r>
      <w:proofErr w:type="spellStart"/>
      <w:r w:rsidR="008F7E0E" w:rsidRPr="00F01A4E">
        <w:rPr>
          <w:i/>
        </w:rPr>
        <w:t>euro</w:t>
      </w:r>
      <w:proofErr w:type="spellEnd"/>
      <w:r w:rsidR="008F7E0E" w:rsidRPr="008F7E0E">
        <w:t>;</w:t>
      </w:r>
    </w:p>
    <w:p w14:paraId="396E885C" w14:textId="4A47065A" w:rsidR="00827E1E" w:rsidRPr="00900454" w:rsidRDefault="000E2D8E" w:rsidP="00827E1E">
      <w:pPr>
        <w:pStyle w:val="ListParagraph"/>
        <w:numPr>
          <w:ilvl w:val="1"/>
          <w:numId w:val="11"/>
        </w:numPr>
        <w:jc w:val="both"/>
        <w:rPr>
          <w:b/>
          <w:caps/>
        </w:rPr>
      </w:pPr>
      <w:r>
        <w:rPr>
          <w:caps/>
        </w:rPr>
        <w:t>P</w:t>
      </w:r>
      <w:r w:rsidR="0001142F">
        <w:t>rogrammas ietvaros F</w:t>
      </w:r>
      <w:r>
        <w:t>inansējums</w:t>
      </w:r>
      <w:r w:rsidR="0019700F">
        <w:t xml:space="preserve"> tiek piešķirts:</w:t>
      </w:r>
    </w:p>
    <w:p w14:paraId="161DF358" w14:textId="24D425FD" w:rsidR="00900454" w:rsidRPr="00900454" w:rsidRDefault="00900454" w:rsidP="00900454">
      <w:pPr>
        <w:pStyle w:val="ListParagraph"/>
        <w:numPr>
          <w:ilvl w:val="1"/>
          <w:numId w:val="32"/>
        </w:numPr>
        <w:jc w:val="both"/>
        <w:rPr>
          <w:b/>
          <w:caps/>
        </w:rPr>
      </w:pPr>
      <w:r>
        <w:t xml:space="preserve"> </w:t>
      </w:r>
      <w:r w:rsidR="0019700F" w:rsidRPr="0019700F">
        <w:t>projekta īstenošanā iesaistītā personāla atlīdzība</w:t>
      </w:r>
      <w:r w:rsidR="0019700F">
        <w:t xml:space="preserve">s, tai skaitā </w:t>
      </w:r>
      <w:r w:rsidR="0019700F" w:rsidRPr="0019700F">
        <w:t>uzņēmuma, pakalpojuma un autoratlīdzības līgumu un ar to saistīt</w:t>
      </w:r>
      <w:r w:rsidR="0019700F">
        <w:t>o nodokļu maksājumu izmaksām</w:t>
      </w:r>
      <w:r w:rsidR="000B1493">
        <w:t>;</w:t>
      </w:r>
    </w:p>
    <w:p w14:paraId="250FDAB6" w14:textId="2BD255BB" w:rsidR="00900454" w:rsidRPr="00900454" w:rsidRDefault="00827E1E" w:rsidP="00900454">
      <w:pPr>
        <w:pStyle w:val="ListParagraph"/>
        <w:numPr>
          <w:ilvl w:val="1"/>
          <w:numId w:val="32"/>
        </w:numPr>
        <w:jc w:val="both"/>
        <w:rPr>
          <w:b/>
          <w:caps/>
        </w:rPr>
      </w:pPr>
      <w:r>
        <w:t xml:space="preserve"> </w:t>
      </w:r>
      <w:r w:rsidR="0019700F" w:rsidRPr="00900454">
        <w:rPr>
          <w:b/>
          <w:caps/>
        </w:rPr>
        <w:t xml:space="preserve"> </w:t>
      </w:r>
      <w:r w:rsidR="000B1493">
        <w:t>ar satura veidošanu saistīto</w:t>
      </w:r>
      <w:r w:rsidR="0019700F" w:rsidRPr="0019700F">
        <w:t xml:space="preserve"> izmaks</w:t>
      </w:r>
      <w:r w:rsidR="000B1493">
        <w:t>u</w:t>
      </w:r>
      <w:r w:rsidR="0019700F" w:rsidRPr="0019700F">
        <w:t>, t</w:t>
      </w:r>
      <w:r w:rsidR="0019700F">
        <w:t>.sk. sakaru pakalpojumu izdevumu</w:t>
      </w:r>
      <w:r w:rsidR="0019700F" w:rsidRPr="0019700F">
        <w:t xml:space="preserve"> </w:t>
      </w:r>
      <w:r w:rsidR="0019700F">
        <w:t>izmaksu</w:t>
      </w:r>
      <w:r w:rsidR="000B1493">
        <w:t>,</w:t>
      </w:r>
      <w:r w:rsidR="0019700F">
        <w:t xml:space="preserve"> segšanai</w:t>
      </w:r>
      <w:r w:rsidR="0019700F" w:rsidRPr="00900454">
        <w:rPr>
          <w:caps/>
        </w:rPr>
        <w:t>;</w:t>
      </w:r>
    </w:p>
    <w:p w14:paraId="73EE8D88" w14:textId="65ECC8EC" w:rsidR="00BA53E6" w:rsidRPr="00900454" w:rsidRDefault="00900454" w:rsidP="00900454">
      <w:pPr>
        <w:pStyle w:val="ListParagraph"/>
        <w:numPr>
          <w:ilvl w:val="1"/>
          <w:numId w:val="32"/>
        </w:numPr>
        <w:jc w:val="both"/>
        <w:rPr>
          <w:b/>
          <w:caps/>
        </w:rPr>
      </w:pPr>
      <w:r>
        <w:rPr>
          <w:caps/>
        </w:rPr>
        <w:t xml:space="preserve"> </w:t>
      </w:r>
      <w:r w:rsidR="00673960" w:rsidRPr="005432D3">
        <w:t>ar satura atspoguļošanu (tipogrāfija, apraide, piegāde</w:t>
      </w:r>
      <w:r w:rsidR="000B1493">
        <w:t xml:space="preserve"> u.c.</w:t>
      </w:r>
      <w:r w:rsidR="00673960" w:rsidRPr="005432D3">
        <w:t>) saistīt</w:t>
      </w:r>
      <w:r w:rsidR="00673960">
        <w:t>o</w:t>
      </w:r>
      <w:r w:rsidR="00673960" w:rsidRPr="005432D3">
        <w:t xml:space="preserve"> i</w:t>
      </w:r>
      <w:r w:rsidR="00673960">
        <w:t>zmaksu</w:t>
      </w:r>
      <w:r w:rsidR="00673960" w:rsidRPr="005432D3">
        <w:t xml:space="preserve">, nepārsniedzot 20% no </w:t>
      </w:r>
      <w:r w:rsidR="001D367C">
        <w:t xml:space="preserve">projekta </w:t>
      </w:r>
      <w:r w:rsidR="00673960" w:rsidRPr="005432D3">
        <w:t>kopējām izmaksām</w:t>
      </w:r>
      <w:r w:rsidR="00673960">
        <w:t>, segšanai;</w:t>
      </w:r>
    </w:p>
    <w:p w14:paraId="6B779A23" w14:textId="66D62900" w:rsidR="00673960" w:rsidRPr="00900454" w:rsidRDefault="00900454" w:rsidP="00900454">
      <w:pPr>
        <w:pStyle w:val="ListParagraph"/>
        <w:numPr>
          <w:ilvl w:val="1"/>
          <w:numId w:val="32"/>
        </w:numPr>
        <w:jc w:val="both"/>
        <w:rPr>
          <w:b/>
          <w:caps/>
        </w:rPr>
      </w:pPr>
      <w:r>
        <w:t xml:space="preserve"> </w:t>
      </w:r>
      <w:r w:rsidR="001D367C">
        <w:t xml:space="preserve">ar </w:t>
      </w:r>
      <w:r w:rsidR="00673960" w:rsidRPr="001D367C">
        <w:t xml:space="preserve">projekta </w:t>
      </w:r>
      <w:r w:rsidR="0074685D">
        <w:t xml:space="preserve">īstenošanu saistīto </w:t>
      </w:r>
      <w:r w:rsidR="0074685D" w:rsidRPr="00827E1E">
        <w:t>sakaru izdevumu, telpu nomas un komunālo izdevumu, biroja iekārtu, inventāra un aparatūras nomas un remonta, tehniskās apkalpošanas, kancelejas un saimniecības preču izmaksu un citu ar projekta administrēšanu saistīto  pakalpojumu segšanai;</w:t>
      </w:r>
    </w:p>
    <w:p w14:paraId="5CE26171" w14:textId="77777777" w:rsidR="0074685D" w:rsidRPr="00900454" w:rsidRDefault="008F17B3" w:rsidP="00214CC4">
      <w:pPr>
        <w:pStyle w:val="ListParagraph"/>
        <w:numPr>
          <w:ilvl w:val="1"/>
          <w:numId w:val="11"/>
        </w:numPr>
        <w:jc w:val="both"/>
        <w:rPr>
          <w:b/>
          <w:caps/>
        </w:rPr>
      </w:pPr>
      <w:r>
        <w:t>Programmas ietvaros finansējums netiek piešķirts</w:t>
      </w:r>
      <w:r w:rsidR="0074685D">
        <w:t>:</w:t>
      </w:r>
    </w:p>
    <w:p w14:paraId="5E8E73BF" w14:textId="588F5C6B" w:rsidR="000E61DC" w:rsidRPr="00900454" w:rsidRDefault="0074685D" w:rsidP="00900454">
      <w:pPr>
        <w:pStyle w:val="ListParagraph"/>
        <w:numPr>
          <w:ilvl w:val="1"/>
          <w:numId w:val="33"/>
        </w:numPr>
        <w:jc w:val="both"/>
        <w:rPr>
          <w:b/>
          <w:caps/>
        </w:rPr>
      </w:pPr>
      <w:r>
        <w:t xml:space="preserve"> </w:t>
      </w:r>
      <w:r w:rsidR="008F17B3">
        <w:t xml:space="preserve">projektiem, </w:t>
      </w:r>
      <w:r w:rsidR="000E61DC" w:rsidRPr="000E61DC">
        <w:t>kas vērsti uz politisko spēku tēla stiprināšanu vai a</w:t>
      </w:r>
      <w:r w:rsidR="000E61DC">
        <w:t>tbalsta aktivitāšu organizēšanu</w:t>
      </w:r>
      <w:r>
        <w:t>;</w:t>
      </w:r>
    </w:p>
    <w:p w14:paraId="74FAB604" w14:textId="07AC239B" w:rsidR="0074685D" w:rsidRPr="00900454" w:rsidRDefault="00900454" w:rsidP="00900454">
      <w:pPr>
        <w:pStyle w:val="ListParagraph"/>
        <w:numPr>
          <w:ilvl w:val="1"/>
          <w:numId w:val="33"/>
        </w:numPr>
        <w:jc w:val="both"/>
        <w:rPr>
          <w:b/>
          <w:caps/>
        </w:rPr>
      </w:pPr>
      <w:r>
        <w:rPr>
          <w:lang w:eastAsia="en-US"/>
        </w:rPr>
        <w:t xml:space="preserve"> </w:t>
      </w:r>
      <w:r w:rsidR="0074685D" w:rsidRPr="0074685D">
        <w:rPr>
          <w:lang w:eastAsia="en-US"/>
        </w:rPr>
        <w:t>projekta p</w:t>
      </w:r>
      <w:r w:rsidR="0074685D">
        <w:rPr>
          <w:lang w:eastAsia="en-US"/>
        </w:rPr>
        <w:t>ieteikuma sagatavošanas izmaksu segšanai;</w:t>
      </w:r>
    </w:p>
    <w:p w14:paraId="58202EA9" w14:textId="6AF5CF7D" w:rsidR="0074685D" w:rsidRPr="00900454" w:rsidRDefault="00900454" w:rsidP="00900454">
      <w:pPr>
        <w:pStyle w:val="ListParagraph"/>
        <w:numPr>
          <w:ilvl w:val="1"/>
          <w:numId w:val="33"/>
        </w:numPr>
        <w:jc w:val="both"/>
        <w:rPr>
          <w:b/>
          <w:caps/>
        </w:rPr>
      </w:pPr>
      <w:r>
        <w:t xml:space="preserve"> </w:t>
      </w:r>
      <w:r w:rsidR="0074685D">
        <w:t>prēmiju, dāvanu</w:t>
      </w:r>
      <w:r w:rsidR="0074685D" w:rsidRPr="0074685D">
        <w:t xml:space="preserve"> un jebkād</w:t>
      </w:r>
      <w:r w:rsidR="0074685D">
        <w:t>u citu</w:t>
      </w:r>
      <w:r w:rsidR="0074685D" w:rsidRPr="0074685D">
        <w:t xml:space="preserve"> labum</w:t>
      </w:r>
      <w:r w:rsidR="0074685D">
        <w:t>u</w:t>
      </w:r>
      <w:r w:rsidR="0074685D" w:rsidRPr="0074685D">
        <w:t>, kas piešķirti</w:t>
      </w:r>
      <w:r w:rsidR="004A33F3">
        <w:t xml:space="preserve"> Pretendenta</w:t>
      </w:r>
      <w:r w:rsidR="0074685D" w:rsidRPr="0074685D">
        <w:t xml:space="preserve"> personālam, tai skaitā veselības apdrošināšana un apmaksātas ēdināšanas</w:t>
      </w:r>
      <w:r w:rsidR="0074685D">
        <w:t>, izmaksu segšanai;</w:t>
      </w:r>
    </w:p>
    <w:p w14:paraId="23C6B907" w14:textId="29980BFF" w:rsidR="0074685D" w:rsidRPr="00900454" w:rsidRDefault="00900454" w:rsidP="00900454">
      <w:pPr>
        <w:pStyle w:val="ListParagraph"/>
        <w:numPr>
          <w:ilvl w:val="1"/>
          <w:numId w:val="33"/>
        </w:numPr>
        <w:jc w:val="both"/>
        <w:rPr>
          <w:b/>
          <w:caps/>
        </w:rPr>
      </w:pPr>
      <w:r>
        <w:rPr>
          <w:lang w:eastAsia="en-US"/>
        </w:rPr>
        <w:t xml:space="preserve"> </w:t>
      </w:r>
      <w:r w:rsidR="0074685D" w:rsidRPr="0074685D">
        <w:rPr>
          <w:lang w:eastAsia="en-US"/>
        </w:rPr>
        <w:t>jebkād</w:t>
      </w:r>
      <w:r w:rsidR="0074685D">
        <w:rPr>
          <w:lang w:eastAsia="en-US"/>
        </w:rPr>
        <w:t xml:space="preserve">u skaidrā naudā veiktu </w:t>
      </w:r>
      <w:r w:rsidR="004A33F3">
        <w:rPr>
          <w:lang w:eastAsia="en-US"/>
        </w:rPr>
        <w:t xml:space="preserve">darījumu </w:t>
      </w:r>
      <w:r w:rsidR="0074685D">
        <w:rPr>
          <w:lang w:eastAsia="en-US"/>
        </w:rPr>
        <w:t>izmaksu segšanai;</w:t>
      </w:r>
    </w:p>
    <w:p w14:paraId="53E6FC11" w14:textId="6AABB14D" w:rsidR="0074685D" w:rsidRPr="00900454" w:rsidRDefault="00827E1E" w:rsidP="00900454">
      <w:pPr>
        <w:pStyle w:val="ListParagraph"/>
        <w:numPr>
          <w:ilvl w:val="1"/>
          <w:numId w:val="33"/>
        </w:numPr>
        <w:jc w:val="both"/>
        <w:rPr>
          <w:b/>
          <w:caps/>
        </w:rPr>
      </w:pPr>
      <w:r w:rsidRPr="00900454">
        <w:rPr>
          <w:caps/>
        </w:rPr>
        <w:t xml:space="preserve"> </w:t>
      </w:r>
      <w:r w:rsidR="0074685D" w:rsidRPr="00900454">
        <w:rPr>
          <w:caps/>
        </w:rPr>
        <w:t>P</w:t>
      </w:r>
      <w:r w:rsidR="0074685D">
        <w:t xml:space="preserve">retendenta </w:t>
      </w:r>
      <w:r w:rsidR="004A33F3">
        <w:t xml:space="preserve">individuālo </w:t>
      </w:r>
      <w:r>
        <w:t>finansiālo saistību, tai skaitā kredītu</w:t>
      </w:r>
      <w:r w:rsidR="0074685D">
        <w:t xml:space="preserve"> un ar to saistīto procentu maksājumu</w:t>
      </w:r>
      <w:r>
        <w:t xml:space="preserve">, </w:t>
      </w:r>
      <w:r w:rsidR="0074685D">
        <w:t xml:space="preserve"> </w:t>
      </w:r>
      <w:r w:rsidRPr="00827E1E">
        <w:rPr>
          <w:lang w:eastAsia="en-US"/>
        </w:rPr>
        <w:t>naudas sod</w:t>
      </w:r>
      <w:r>
        <w:rPr>
          <w:lang w:eastAsia="en-US"/>
        </w:rPr>
        <w:t>u</w:t>
      </w:r>
      <w:r w:rsidRPr="00827E1E">
        <w:rPr>
          <w:lang w:eastAsia="en-US"/>
        </w:rPr>
        <w:t>, līgumsod</w:t>
      </w:r>
      <w:r>
        <w:rPr>
          <w:lang w:eastAsia="en-US"/>
        </w:rPr>
        <w:t>u, nokavējuma procentu un tiesvedības izdevumu,</w:t>
      </w:r>
      <w:r>
        <w:t xml:space="preserve"> </w:t>
      </w:r>
      <w:r w:rsidR="0074685D">
        <w:t>segšanai;</w:t>
      </w:r>
      <w:r w:rsidR="0074685D" w:rsidRPr="00900454">
        <w:rPr>
          <w:caps/>
        </w:rPr>
        <w:t xml:space="preserve"> </w:t>
      </w:r>
    </w:p>
    <w:p w14:paraId="49D7F02B" w14:textId="0D67A547" w:rsidR="00827E1E" w:rsidRPr="00900454" w:rsidRDefault="00900454" w:rsidP="00900454">
      <w:pPr>
        <w:pStyle w:val="ListParagraph"/>
        <w:numPr>
          <w:ilvl w:val="1"/>
          <w:numId w:val="33"/>
        </w:numPr>
        <w:jc w:val="both"/>
        <w:rPr>
          <w:b/>
          <w:caps/>
        </w:rPr>
      </w:pPr>
      <w:r>
        <w:t xml:space="preserve"> </w:t>
      </w:r>
      <w:r w:rsidR="00827E1E">
        <w:t>nekustamā īpašuma iegādei;</w:t>
      </w:r>
    </w:p>
    <w:p w14:paraId="082D55A1" w14:textId="57D9F0D8" w:rsidR="00827E1E" w:rsidRPr="00900454" w:rsidRDefault="00827E1E" w:rsidP="00900454">
      <w:pPr>
        <w:pStyle w:val="ListParagraph"/>
        <w:numPr>
          <w:ilvl w:val="1"/>
          <w:numId w:val="33"/>
        </w:numPr>
        <w:jc w:val="both"/>
        <w:rPr>
          <w:b/>
          <w:caps/>
        </w:rPr>
      </w:pPr>
      <w:r>
        <w:t xml:space="preserve"> </w:t>
      </w:r>
      <w:r w:rsidRPr="005432D3">
        <w:t>būvni</w:t>
      </w:r>
      <w:r>
        <w:t>ecības un telpu remonta izmaksu segšanai;</w:t>
      </w:r>
    </w:p>
    <w:p w14:paraId="46A87C0D" w14:textId="604BA49C" w:rsidR="00827E1E" w:rsidRPr="00900454" w:rsidRDefault="00900454" w:rsidP="00900454">
      <w:pPr>
        <w:pStyle w:val="ListParagraph"/>
        <w:numPr>
          <w:ilvl w:val="1"/>
          <w:numId w:val="33"/>
        </w:numPr>
        <w:jc w:val="both"/>
        <w:rPr>
          <w:b/>
          <w:caps/>
        </w:rPr>
      </w:pPr>
      <w:r>
        <w:t xml:space="preserve"> </w:t>
      </w:r>
      <w:r w:rsidR="00827E1E" w:rsidRPr="005432D3">
        <w:t>izmaks</w:t>
      </w:r>
      <w:r w:rsidR="00827E1E">
        <w:t>u</w:t>
      </w:r>
      <w:r w:rsidR="00827E1E" w:rsidRPr="005432D3">
        <w:t>, kas tiek finansētas no citiem finanšu avotiem</w:t>
      </w:r>
      <w:r w:rsidR="00827E1E">
        <w:t>, segšanai.</w:t>
      </w:r>
    </w:p>
    <w:p w14:paraId="684C2F6F" w14:textId="77777777" w:rsidR="00DE3C3B" w:rsidRPr="00900454" w:rsidRDefault="00DE3C3B" w:rsidP="00DE3C3B">
      <w:pPr>
        <w:pStyle w:val="ListParagraph"/>
        <w:numPr>
          <w:ilvl w:val="1"/>
          <w:numId w:val="11"/>
        </w:numPr>
        <w:jc w:val="both"/>
        <w:rPr>
          <w:b/>
          <w:caps/>
        </w:rPr>
      </w:pPr>
      <w:r>
        <w:t>Uz finansējumu nevar pretendēt:</w:t>
      </w:r>
    </w:p>
    <w:p w14:paraId="5A176E5E" w14:textId="1BFD87FE" w:rsidR="00DE3C3B" w:rsidRPr="00900454" w:rsidRDefault="00900454" w:rsidP="00900454">
      <w:pPr>
        <w:pStyle w:val="ListParagraph"/>
        <w:numPr>
          <w:ilvl w:val="1"/>
          <w:numId w:val="34"/>
        </w:numPr>
        <w:jc w:val="both"/>
        <w:rPr>
          <w:b/>
          <w:caps/>
        </w:rPr>
      </w:pPr>
      <w:r>
        <w:t xml:space="preserve"> </w:t>
      </w:r>
      <w:r w:rsidR="00DE3C3B">
        <w:t>Pašvaldības iestādes un kapitālsabiedrības</w:t>
      </w:r>
      <w:r>
        <w:t>, kurās</w:t>
      </w:r>
      <w:r w:rsidRPr="00900454">
        <w:t xml:space="preserve"> kapitāldaļ</w:t>
      </w:r>
      <w:r>
        <w:t xml:space="preserve">as </w:t>
      </w:r>
      <w:r w:rsidRPr="00900454">
        <w:t xml:space="preserve">pieder </w:t>
      </w:r>
      <w:r>
        <w:t>Pašvaldībai</w:t>
      </w:r>
      <w:r w:rsidR="00DE3C3B">
        <w:t>;</w:t>
      </w:r>
    </w:p>
    <w:p w14:paraId="453A6FA6" w14:textId="6B72DC34" w:rsidR="00DE3C3B" w:rsidRPr="00900454" w:rsidRDefault="00900454" w:rsidP="00900454">
      <w:pPr>
        <w:pStyle w:val="ListParagraph"/>
        <w:numPr>
          <w:ilvl w:val="1"/>
          <w:numId w:val="34"/>
        </w:numPr>
        <w:jc w:val="both"/>
        <w:rPr>
          <w:b/>
          <w:caps/>
        </w:rPr>
      </w:pPr>
      <w:r>
        <w:t xml:space="preserve"> </w:t>
      </w:r>
      <w:r w:rsidR="00DE3C3B" w:rsidRPr="00DE3C3B">
        <w:t xml:space="preserve">mediji, kas izplata dezinformāciju vai pārkāpj </w:t>
      </w:r>
      <w:r w:rsidR="00593D81">
        <w:t>profesionālās</w:t>
      </w:r>
      <w:r w:rsidR="0080434E">
        <w:t xml:space="preserve"> ētikas standartus.</w:t>
      </w:r>
    </w:p>
    <w:p w14:paraId="55E21900" w14:textId="37850505" w:rsidR="00827E1E" w:rsidRDefault="00827E1E" w:rsidP="00827E1E">
      <w:pPr>
        <w:pStyle w:val="ListParagraph"/>
        <w:numPr>
          <w:ilvl w:val="1"/>
          <w:numId w:val="11"/>
        </w:numPr>
        <w:jc w:val="both"/>
      </w:pPr>
      <w:r w:rsidRPr="00827E1E">
        <w:t xml:space="preserve">Pievienotās vērtības nodoklis </w:t>
      </w:r>
      <w:r>
        <w:t>projekta ietvaros</w:t>
      </w:r>
      <w:r w:rsidRPr="00827E1E">
        <w:t xml:space="preserve"> </w:t>
      </w:r>
      <w:r>
        <w:t xml:space="preserve">ir </w:t>
      </w:r>
      <w:r w:rsidRPr="00827E1E">
        <w:t xml:space="preserve">attiecināmās izmaksas, ja tas nav atgūstams no valsts budžeta atbilstoši </w:t>
      </w:r>
      <w:r>
        <w:t>Pievienotās vērtības nodokļa likuma nosacījumiem.</w:t>
      </w:r>
    </w:p>
    <w:p w14:paraId="5F0A0072" w14:textId="22B2D62A" w:rsidR="00900454" w:rsidRDefault="00900454" w:rsidP="00900454">
      <w:pPr>
        <w:pStyle w:val="ListParagraph"/>
        <w:numPr>
          <w:ilvl w:val="1"/>
          <w:numId w:val="11"/>
        </w:numPr>
        <w:overflowPunct w:val="0"/>
        <w:autoSpaceDE w:val="0"/>
        <w:autoSpaceDN w:val="0"/>
        <w:adjustRightInd w:val="0"/>
        <w:jc w:val="both"/>
        <w:textAlignment w:val="baseline"/>
      </w:pPr>
      <w:r>
        <w:t>Finansējums</w:t>
      </w:r>
      <w:r w:rsidRPr="005432D3">
        <w:t xml:space="preserve"> var veidot </w:t>
      </w:r>
      <w:r>
        <w:t xml:space="preserve">līdz </w:t>
      </w:r>
      <w:r w:rsidRPr="005432D3">
        <w:t>100%</w:t>
      </w:r>
      <w:r w:rsidR="00593D81">
        <w:t xml:space="preserve"> (simts procenti)</w:t>
      </w:r>
      <w:r w:rsidRPr="005432D3">
        <w:t xml:space="preserve"> no projekta kopējām izmaksām.</w:t>
      </w:r>
    </w:p>
    <w:p w14:paraId="2FFB915E" w14:textId="7B0F9274" w:rsidR="000E2D8E" w:rsidRDefault="000E2D8E" w:rsidP="000E2D8E">
      <w:pPr>
        <w:pStyle w:val="ListParagraph"/>
        <w:numPr>
          <w:ilvl w:val="1"/>
          <w:numId w:val="11"/>
        </w:numPr>
        <w:jc w:val="both"/>
      </w:pPr>
      <w:r>
        <w:t>Vienam proj</w:t>
      </w:r>
      <w:r w:rsidR="00900454">
        <w:t>ektam piešķiramais maksimālais F</w:t>
      </w:r>
      <w:r>
        <w:t>inansējums:</w:t>
      </w:r>
    </w:p>
    <w:p w14:paraId="6104A1B5" w14:textId="62C0E882" w:rsidR="000E2D8E" w:rsidRDefault="000E2D8E" w:rsidP="00900454">
      <w:pPr>
        <w:pStyle w:val="ListParagraph"/>
        <w:numPr>
          <w:ilvl w:val="1"/>
          <w:numId w:val="35"/>
        </w:numPr>
        <w:jc w:val="both"/>
      </w:pPr>
      <w:r>
        <w:t xml:space="preserve"> medijiem, kas ir reģistrēti kā preses izdevuma vai interneta vietnes īpašnieki saskaņā ar likumu “Par presi un citiem masu informācijas līdzekļiem”, līdz 12 000 </w:t>
      </w:r>
      <w:proofErr w:type="spellStart"/>
      <w:r w:rsidR="00F01A4E" w:rsidRPr="00F01A4E">
        <w:rPr>
          <w:i/>
        </w:rPr>
        <w:t>euro</w:t>
      </w:r>
      <w:proofErr w:type="spellEnd"/>
      <w:r w:rsidR="00593D81">
        <w:t xml:space="preserve"> (divpadsmit tūkstoši </w:t>
      </w:r>
      <w:proofErr w:type="spellStart"/>
      <w:r w:rsidR="00593D81" w:rsidRPr="00593D81">
        <w:rPr>
          <w:i/>
        </w:rPr>
        <w:t>euro</w:t>
      </w:r>
      <w:proofErr w:type="spellEnd"/>
      <w:r w:rsidR="00593D81">
        <w:t>)</w:t>
      </w:r>
      <w:r>
        <w:t>;</w:t>
      </w:r>
    </w:p>
    <w:p w14:paraId="7CB5CAA3" w14:textId="5C6F34F1" w:rsidR="00900454" w:rsidRDefault="000E2D8E" w:rsidP="00900454">
      <w:pPr>
        <w:pStyle w:val="ListParagraph"/>
        <w:numPr>
          <w:ilvl w:val="1"/>
          <w:numId w:val="35"/>
        </w:numPr>
        <w:jc w:val="both"/>
      </w:pPr>
      <w:r>
        <w:t xml:space="preserve"> citiem satura veidotājiem līdz 3 000 </w:t>
      </w:r>
      <w:proofErr w:type="spellStart"/>
      <w:r w:rsidR="00F01A4E" w:rsidRPr="00F01A4E">
        <w:rPr>
          <w:i/>
        </w:rPr>
        <w:t>euro</w:t>
      </w:r>
      <w:proofErr w:type="spellEnd"/>
      <w:r w:rsidR="00593D81">
        <w:t xml:space="preserve"> (trīs tūkstoši </w:t>
      </w:r>
      <w:proofErr w:type="spellStart"/>
      <w:r w:rsidR="00593D81" w:rsidRPr="00593D81">
        <w:rPr>
          <w:i/>
        </w:rPr>
        <w:t>euro</w:t>
      </w:r>
      <w:proofErr w:type="spellEnd"/>
      <w:r w:rsidR="00593D81">
        <w:t>)</w:t>
      </w:r>
      <w:r>
        <w:t>.</w:t>
      </w:r>
    </w:p>
    <w:p w14:paraId="11578103" w14:textId="3F473661" w:rsidR="00DE3C3B" w:rsidRDefault="008F17B3" w:rsidP="00DE3C3B">
      <w:pPr>
        <w:pStyle w:val="ListParagraph"/>
        <w:numPr>
          <w:ilvl w:val="1"/>
          <w:numId w:val="11"/>
        </w:numPr>
      </w:pPr>
      <w:r w:rsidRPr="005432D3">
        <w:t xml:space="preserve"> </w:t>
      </w:r>
      <w:r w:rsidR="00DE3C3B" w:rsidRPr="00DE3C3B">
        <w:t xml:space="preserve">Finansējuma saņēmējs nodrošina, ka projekta ietvaros </w:t>
      </w:r>
      <w:r w:rsidR="00DE3C3B">
        <w:t>radītais</w:t>
      </w:r>
      <w:r w:rsidR="00DE3C3B" w:rsidRPr="00DE3C3B">
        <w:t xml:space="preserve"> saturs ir</w:t>
      </w:r>
      <w:r w:rsidR="00DE3C3B">
        <w:t xml:space="preserve"> publiski pieejams bez maksas</w:t>
      </w:r>
      <w:r w:rsidR="00DE3C3B" w:rsidRPr="00DE3C3B">
        <w:t xml:space="preserve"> vismaz vienā tiešsaistes platformā</w:t>
      </w:r>
      <w:r w:rsidR="00DE51DA">
        <w:t xml:space="preserve"> valsts valodā</w:t>
      </w:r>
      <w:r w:rsidR="00DE3C3B" w:rsidRPr="00DE3C3B">
        <w:t>.</w:t>
      </w:r>
    </w:p>
    <w:p w14:paraId="6B34F659" w14:textId="43C1D0C1" w:rsidR="00BD3777" w:rsidRDefault="00BD3777" w:rsidP="00900454">
      <w:pPr>
        <w:pStyle w:val="ListParagraph"/>
        <w:numPr>
          <w:ilvl w:val="1"/>
          <w:numId w:val="11"/>
        </w:numPr>
        <w:jc w:val="both"/>
      </w:pPr>
      <w:r w:rsidRPr="00BD3777">
        <w:t>Pašvaldība var noteikt, ka</w:t>
      </w:r>
      <w:r>
        <w:t xml:space="preserve"> Pretendents, kuram tiek piešķirts</w:t>
      </w:r>
      <w:r w:rsidRPr="00BD3777">
        <w:t xml:space="preserve"> </w:t>
      </w:r>
      <w:r>
        <w:t xml:space="preserve">Finansējums,  </w:t>
      </w:r>
      <w:r w:rsidRPr="00BD3777">
        <w:t>sagatavo noteiktu sabiedriski nozīmīga satura</w:t>
      </w:r>
      <w:r>
        <w:t>,</w:t>
      </w:r>
      <w:r w:rsidRPr="00BD3777">
        <w:t xml:space="preserve"> kurā atspoguļoti </w:t>
      </w:r>
      <w:r>
        <w:t xml:space="preserve">Jelgavas </w:t>
      </w:r>
      <w:proofErr w:type="spellStart"/>
      <w:r>
        <w:t>valsts</w:t>
      </w:r>
      <w:r w:rsidR="006D2734">
        <w:t>pilsētā</w:t>
      </w:r>
      <w:proofErr w:type="spellEnd"/>
      <w:r w:rsidR="006D2734">
        <w:t xml:space="preserve"> notiekoši</w:t>
      </w:r>
      <w:r w:rsidRPr="00BD3777">
        <w:t xml:space="preserve"> </w:t>
      </w:r>
      <w:r>
        <w:t>pasākumi</w:t>
      </w:r>
      <w:r w:rsidRPr="00BD3777">
        <w:t xml:space="preserve"> un </w:t>
      </w:r>
      <w:r>
        <w:t>iniciatīvas,</w:t>
      </w:r>
      <w:r w:rsidRPr="00BD3777">
        <w:t xml:space="preserve"> apjomu gadā</w:t>
      </w:r>
      <w:r w:rsidR="006D2734">
        <w:t>.</w:t>
      </w:r>
    </w:p>
    <w:p w14:paraId="387E8C7C" w14:textId="7DA91B13" w:rsidR="00900454" w:rsidRDefault="00952A95" w:rsidP="00900454">
      <w:pPr>
        <w:pStyle w:val="ListParagraph"/>
        <w:numPr>
          <w:ilvl w:val="1"/>
          <w:numId w:val="11"/>
        </w:numPr>
        <w:jc w:val="both"/>
        <w:rPr>
          <w:shd w:val="clear" w:color="auto" w:fill="FFFFFF"/>
        </w:rPr>
      </w:pPr>
      <w:r w:rsidRPr="00900454">
        <w:rPr>
          <w:shd w:val="clear" w:color="auto" w:fill="FFFFFF"/>
        </w:rPr>
        <w:t>Projekta pieteikums</w:t>
      </w:r>
      <w:r w:rsidR="00900454">
        <w:rPr>
          <w:shd w:val="clear" w:color="auto" w:fill="FFFFFF"/>
        </w:rPr>
        <w:t xml:space="preserve"> ar norādi </w:t>
      </w:r>
      <w:r w:rsidR="00960D15" w:rsidRPr="00900454">
        <w:rPr>
          <w:shd w:val="clear" w:color="auto" w:fill="FFFFFF"/>
        </w:rPr>
        <w:t xml:space="preserve"> </w:t>
      </w:r>
      <w:r w:rsidR="00900454">
        <w:rPr>
          <w:shd w:val="clear" w:color="auto" w:fill="FFFFFF"/>
        </w:rPr>
        <w:t>pieteikums J</w:t>
      </w:r>
      <w:r w:rsidR="00900454" w:rsidRPr="00900454">
        <w:rPr>
          <w:shd w:val="clear" w:color="auto" w:fill="FFFFFF"/>
        </w:rPr>
        <w:t>elgavas mediju atbalsta programma</w:t>
      </w:r>
      <w:r w:rsidR="00900454">
        <w:rPr>
          <w:shd w:val="clear" w:color="auto" w:fill="FFFFFF"/>
        </w:rPr>
        <w:t>i</w:t>
      </w:r>
      <w:r w:rsidR="00900454" w:rsidRPr="00900454">
        <w:rPr>
          <w:shd w:val="clear" w:color="auto" w:fill="FFFFFF"/>
        </w:rPr>
        <w:t xml:space="preserve"> </w:t>
      </w:r>
      <w:r w:rsidR="00900454">
        <w:rPr>
          <w:shd w:val="clear" w:color="auto" w:fill="FFFFFF"/>
        </w:rPr>
        <w:t xml:space="preserve">iesniedz, </w:t>
      </w:r>
      <w:r w:rsidR="00900454" w:rsidRPr="00900454">
        <w:rPr>
          <w:shd w:val="clear" w:color="auto" w:fill="FFFFFF"/>
        </w:rPr>
        <w:t>nosūtot ar drošu elektronisko parakstu parakstītu</w:t>
      </w:r>
      <w:r w:rsidR="00900454">
        <w:rPr>
          <w:shd w:val="clear" w:color="auto" w:fill="FFFFFF"/>
        </w:rPr>
        <w:t>s</w:t>
      </w:r>
      <w:r w:rsidR="00900454" w:rsidRPr="00900454">
        <w:rPr>
          <w:shd w:val="clear" w:color="auto" w:fill="FFFFFF"/>
        </w:rPr>
        <w:t xml:space="preserve"> dokumentu</w:t>
      </w:r>
      <w:r w:rsidR="00900454">
        <w:rPr>
          <w:shd w:val="clear" w:color="auto" w:fill="FFFFFF"/>
        </w:rPr>
        <w:t>s</w:t>
      </w:r>
      <w:r w:rsidR="00900454" w:rsidRPr="00900454">
        <w:rPr>
          <w:shd w:val="clear" w:color="auto" w:fill="FFFFFF"/>
        </w:rPr>
        <w:t xml:space="preserve"> u</w:t>
      </w:r>
      <w:r w:rsidR="00900454">
        <w:rPr>
          <w:shd w:val="clear" w:color="auto" w:fill="FFFFFF"/>
        </w:rPr>
        <w:t>z e</w:t>
      </w:r>
      <w:r w:rsidR="00900454" w:rsidRPr="00900454">
        <w:rPr>
          <w:shd w:val="clear" w:color="auto" w:fill="FFFFFF"/>
        </w:rPr>
        <w:t>-pasta adresi mediji@jelgava.lv</w:t>
      </w:r>
      <w:r w:rsidR="00900454">
        <w:rPr>
          <w:shd w:val="clear" w:color="auto" w:fill="FFFFFF"/>
        </w:rPr>
        <w:t>, Pašvaldības oficiālo e-adresi,</w:t>
      </w:r>
      <w:r w:rsidR="003E5DBF">
        <w:rPr>
          <w:shd w:val="clear" w:color="auto" w:fill="FFFFFF"/>
        </w:rPr>
        <w:t xml:space="preserve"> </w:t>
      </w:r>
      <w:r w:rsidR="00900454" w:rsidRPr="00900454">
        <w:rPr>
          <w:shd w:val="clear" w:color="auto" w:fill="FFFFFF"/>
        </w:rPr>
        <w:t>nosūtot pasta sūtījumā uz past</w:t>
      </w:r>
      <w:r w:rsidR="00900454">
        <w:rPr>
          <w:shd w:val="clear" w:color="auto" w:fill="FFFFFF"/>
        </w:rPr>
        <w:t xml:space="preserve">a adresi </w:t>
      </w:r>
      <w:r w:rsidR="00900454">
        <w:rPr>
          <w:shd w:val="clear" w:color="auto" w:fill="FFFFFF"/>
        </w:rPr>
        <w:lastRenderedPageBreak/>
        <w:t>Lielā iela 11, Jelgava</w:t>
      </w:r>
      <w:r w:rsidR="00B95D60">
        <w:rPr>
          <w:shd w:val="clear" w:color="auto" w:fill="FFFFFF"/>
        </w:rPr>
        <w:t>, LV-3001</w:t>
      </w:r>
      <w:r w:rsidR="00900454">
        <w:rPr>
          <w:shd w:val="clear" w:color="auto" w:fill="FFFFFF"/>
        </w:rPr>
        <w:t xml:space="preserve"> vai</w:t>
      </w:r>
      <w:r w:rsidR="00900454" w:rsidRPr="00900454">
        <w:rPr>
          <w:shd w:val="clear" w:color="auto" w:fill="FFFFFF"/>
        </w:rPr>
        <w:t xml:space="preserve"> iesniedzot personīgi </w:t>
      </w:r>
      <w:r w:rsidR="00B95D60">
        <w:rPr>
          <w:shd w:val="clear" w:color="auto" w:fill="FFFFFF"/>
        </w:rPr>
        <w:t>Pašvaldības k</w:t>
      </w:r>
      <w:r w:rsidR="00900454" w:rsidRPr="00900454">
        <w:rPr>
          <w:shd w:val="clear" w:color="auto" w:fill="FFFFFF"/>
        </w:rPr>
        <w:t>lientu apkalpošanas centrā Lielā ielā 11, Jelgavā</w:t>
      </w:r>
      <w:r w:rsidR="00900454">
        <w:rPr>
          <w:shd w:val="clear" w:color="auto" w:fill="FFFFFF"/>
        </w:rPr>
        <w:t>.</w:t>
      </w:r>
    </w:p>
    <w:p w14:paraId="430971B7" w14:textId="526E2C53" w:rsidR="005773AA" w:rsidRPr="003E5DBF" w:rsidRDefault="005773AA" w:rsidP="003E5DBF">
      <w:pPr>
        <w:pStyle w:val="ListParagraph"/>
        <w:numPr>
          <w:ilvl w:val="1"/>
          <w:numId w:val="11"/>
        </w:numPr>
        <w:jc w:val="both"/>
        <w:rPr>
          <w:shd w:val="clear" w:color="auto" w:fill="FFFFFF"/>
        </w:rPr>
      </w:pPr>
      <w:r w:rsidRPr="005773AA">
        <w:t>Projekta pieteikumi, kas tiks saņemti pēc</w:t>
      </w:r>
      <w:r w:rsidR="00D267B6">
        <w:t xml:space="preserve"> norādītā</w:t>
      </w:r>
      <w:r w:rsidRPr="005773AA">
        <w:t xml:space="preserve"> </w:t>
      </w:r>
      <w:r w:rsidR="00B239A9">
        <w:t xml:space="preserve">iesniegšanas </w:t>
      </w:r>
      <w:r w:rsidRPr="005773AA">
        <w:t xml:space="preserve">termiņa beigām, netiks </w:t>
      </w:r>
      <w:r w:rsidR="003E5DBF">
        <w:t>vērtēti</w:t>
      </w:r>
      <w:r w:rsidRPr="005773AA">
        <w:t>.</w:t>
      </w:r>
    </w:p>
    <w:p w14:paraId="149A0D87" w14:textId="77777777" w:rsidR="006B1EDF" w:rsidRPr="00853BCD" w:rsidRDefault="006B1EDF" w:rsidP="006B1EDF">
      <w:pPr>
        <w:jc w:val="both"/>
        <w:rPr>
          <w:b/>
          <w:bCs/>
        </w:rPr>
      </w:pPr>
    </w:p>
    <w:p w14:paraId="7505A066" w14:textId="3904C067" w:rsidR="006B1EDF" w:rsidRDefault="00205C4A" w:rsidP="00F01A4E">
      <w:pPr>
        <w:pStyle w:val="ListParagraph"/>
        <w:numPr>
          <w:ilvl w:val="0"/>
          <w:numId w:val="2"/>
        </w:numPr>
        <w:ind w:left="851" w:hanging="491"/>
        <w:jc w:val="center"/>
        <w:rPr>
          <w:b/>
          <w:bCs/>
          <w:caps/>
        </w:rPr>
      </w:pPr>
      <w:r w:rsidRPr="00236724">
        <w:rPr>
          <w:b/>
          <w:bCs/>
          <w:caps/>
        </w:rPr>
        <w:t>finansējuma</w:t>
      </w:r>
      <w:r w:rsidR="006B1EDF" w:rsidRPr="00236724">
        <w:rPr>
          <w:b/>
          <w:bCs/>
          <w:caps/>
        </w:rPr>
        <w:t xml:space="preserve"> pIEŠĶIRŠANas komisija</w:t>
      </w:r>
    </w:p>
    <w:p w14:paraId="4DB3B114" w14:textId="77777777" w:rsidR="00F01A4E" w:rsidRPr="00236724" w:rsidRDefault="00F01A4E" w:rsidP="00F01A4E">
      <w:pPr>
        <w:pStyle w:val="ListParagraph"/>
        <w:ind w:left="851"/>
        <w:rPr>
          <w:b/>
          <w:bCs/>
          <w:caps/>
        </w:rPr>
      </w:pPr>
    </w:p>
    <w:p w14:paraId="0D0BF9C4" w14:textId="68164CEC" w:rsidR="001B3D4E" w:rsidRPr="00236724" w:rsidRDefault="001B3D4E" w:rsidP="003E5DBF">
      <w:pPr>
        <w:pStyle w:val="ListParagraph"/>
        <w:numPr>
          <w:ilvl w:val="1"/>
          <w:numId w:val="11"/>
        </w:numPr>
        <w:jc w:val="both"/>
        <w:rPr>
          <w:b/>
          <w:bCs/>
          <w:caps/>
        </w:rPr>
      </w:pPr>
      <w:r w:rsidRPr="00236724">
        <w:t xml:space="preserve">Konkursam iesniegtos pieteikumus izvērtē </w:t>
      </w:r>
      <w:r w:rsidR="00214CC4" w:rsidRPr="00236724">
        <w:t>P</w:t>
      </w:r>
      <w:r w:rsidRPr="00236724">
        <w:t>ašvaldības domes</w:t>
      </w:r>
      <w:r w:rsidR="00A70F74" w:rsidRPr="00236724">
        <w:t xml:space="preserve"> </w:t>
      </w:r>
      <w:r w:rsidRPr="00236724">
        <w:t>apstiprināta komisija</w:t>
      </w:r>
      <w:r w:rsidR="00B239A9" w:rsidRPr="00236724">
        <w:t xml:space="preserve"> (turpmāk – Komisija)</w:t>
      </w:r>
      <w:r w:rsidR="008437E3">
        <w:t xml:space="preserve"> 4</w:t>
      </w:r>
      <w:r w:rsidR="008715C4" w:rsidRPr="00236724">
        <w:t xml:space="preserve">  (</w:t>
      </w:r>
      <w:r w:rsidR="008437E3">
        <w:t>četru</w:t>
      </w:r>
      <w:r w:rsidR="008715C4" w:rsidRPr="00236724">
        <w:t>) cilvēku sastāvā</w:t>
      </w:r>
      <w:r w:rsidRPr="00236724">
        <w:t>.</w:t>
      </w:r>
      <w:r w:rsidR="009E69A0" w:rsidRPr="009E69A0">
        <w:t xml:space="preserve"> Komisijas sekretāru norīko pašvaldības izpilddirektors ar rīkojumu</w:t>
      </w:r>
      <w:r w:rsidR="009E69A0">
        <w:t>.</w:t>
      </w:r>
    </w:p>
    <w:p w14:paraId="1E63AA8E" w14:textId="2F28E8C5" w:rsidR="00B239A9" w:rsidRPr="00236724" w:rsidRDefault="003E5DBF" w:rsidP="00A36942">
      <w:pPr>
        <w:pStyle w:val="ListParagraph"/>
        <w:numPr>
          <w:ilvl w:val="1"/>
          <w:numId w:val="11"/>
        </w:numPr>
        <w:jc w:val="both"/>
        <w:rPr>
          <w:b/>
          <w:bCs/>
          <w:caps/>
        </w:rPr>
      </w:pPr>
      <w:r w:rsidRPr="00236724">
        <w:t>Komisija</w:t>
      </w:r>
      <w:r w:rsidR="00B239A9" w:rsidRPr="00236724">
        <w:t xml:space="preserve">s sastāvs: </w:t>
      </w:r>
    </w:p>
    <w:p w14:paraId="0FD2CA1A" w14:textId="4ABC687E" w:rsidR="00454613" w:rsidRPr="00236724" w:rsidRDefault="003E5DBF" w:rsidP="00A36942">
      <w:pPr>
        <w:pStyle w:val="ListParagraph"/>
        <w:numPr>
          <w:ilvl w:val="1"/>
          <w:numId w:val="36"/>
        </w:numPr>
        <w:jc w:val="both"/>
      </w:pPr>
      <w:r w:rsidRPr="00236724">
        <w:t xml:space="preserve"> </w:t>
      </w:r>
      <w:r w:rsidR="00B239A9" w:rsidRPr="00236724">
        <w:t xml:space="preserve">Komisijas priekšsēdētājs: </w:t>
      </w:r>
      <w:r w:rsidR="00454613" w:rsidRPr="00236724">
        <w:t xml:space="preserve">Jelgavas </w:t>
      </w:r>
      <w:proofErr w:type="spellStart"/>
      <w:r w:rsidR="00454613" w:rsidRPr="00236724">
        <w:t>valstspilsētas</w:t>
      </w:r>
      <w:proofErr w:type="spellEnd"/>
      <w:r w:rsidR="00454613" w:rsidRPr="00236724">
        <w:t xml:space="preserve"> pašvaldības </w:t>
      </w:r>
      <w:r w:rsidR="00A36942" w:rsidRPr="00236724">
        <w:t xml:space="preserve">izpilddirektora </w:t>
      </w:r>
      <w:r w:rsidR="00454613" w:rsidRPr="00236724">
        <w:t>vietnieks.</w:t>
      </w:r>
    </w:p>
    <w:p w14:paraId="4C0110BC" w14:textId="3779BC37" w:rsidR="007779D9" w:rsidRPr="00236724" w:rsidRDefault="007779D9" w:rsidP="00A36942">
      <w:pPr>
        <w:pStyle w:val="ListParagraph"/>
        <w:numPr>
          <w:ilvl w:val="1"/>
          <w:numId w:val="36"/>
        </w:numPr>
        <w:jc w:val="both"/>
      </w:pPr>
      <w:r w:rsidRPr="00236724">
        <w:t xml:space="preserve">Komisijas priekšsēdētāja vietnieks: </w:t>
      </w:r>
      <w:r w:rsidR="00236724" w:rsidRPr="00236724">
        <w:rPr>
          <w:bCs/>
        </w:rPr>
        <w:t>pārstāvis no augstskolas, kurā ir komunikācijas (mediju) programma (var iegūt sociālo zinātņu grādu  komunikācijas vai mediju studijās).</w:t>
      </w:r>
    </w:p>
    <w:p w14:paraId="52B88301" w14:textId="77777777" w:rsidR="00900EF3" w:rsidRPr="00900EF3" w:rsidRDefault="00454613" w:rsidP="00A36942">
      <w:pPr>
        <w:pStyle w:val="ListParagraph"/>
        <w:numPr>
          <w:ilvl w:val="1"/>
          <w:numId w:val="36"/>
        </w:numPr>
        <w:jc w:val="both"/>
        <w:rPr>
          <w:b/>
          <w:bCs/>
          <w:caps/>
        </w:rPr>
      </w:pPr>
      <w:r w:rsidRPr="00A36942">
        <w:t xml:space="preserve"> </w:t>
      </w:r>
      <w:r w:rsidR="00900EF3">
        <w:rPr>
          <w:bCs/>
        </w:rPr>
        <w:t>Komisijas locekļi</w:t>
      </w:r>
      <w:r w:rsidR="00236724">
        <w:rPr>
          <w:bCs/>
        </w:rPr>
        <w:t>:</w:t>
      </w:r>
    </w:p>
    <w:p w14:paraId="45271A47" w14:textId="63D96C49" w:rsidR="00900EF3" w:rsidRPr="00900EF3" w:rsidRDefault="00900EF3" w:rsidP="00900EF3">
      <w:pPr>
        <w:pStyle w:val="ListParagraph"/>
        <w:numPr>
          <w:ilvl w:val="2"/>
          <w:numId w:val="36"/>
        </w:numPr>
        <w:jc w:val="both"/>
        <w:rPr>
          <w:b/>
          <w:bCs/>
          <w:caps/>
        </w:rPr>
      </w:pPr>
      <w:r w:rsidRPr="00236724">
        <w:t xml:space="preserve">Jelgavas </w:t>
      </w:r>
      <w:proofErr w:type="spellStart"/>
      <w:r w:rsidRPr="00236724">
        <w:t>valstspilsētas</w:t>
      </w:r>
      <w:proofErr w:type="spellEnd"/>
      <w:r w:rsidRPr="00236724">
        <w:t xml:space="preserve"> pašvaldības</w:t>
      </w:r>
      <w:r>
        <w:t xml:space="preserve"> izpilddirektors;</w:t>
      </w:r>
    </w:p>
    <w:p w14:paraId="7AB045F0" w14:textId="0F853AEB" w:rsidR="008715C4" w:rsidRPr="00A36942" w:rsidRDefault="00900EF3" w:rsidP="00900EF3">
      <w:pPr>
        <w:pStyle w:val="ListParagraph"/>
        <w:numPr>
          <w:ilvl w:val="2"/>
          <w:numId w:val="36"/>
        </w:numPr>
        <w:jc w:val="both"/>
        <w:rPr>
          <w:b/>
          <w:bCs/>
          <w:caps/>
        </w:rPr>
      </w:pPr>
      <w:r>
        <w:rPr>
          <w:bCs/>
        </w:rPr>
        <w:t xml:space="preserve">1 (viens) </w:t>
      </w:r>
      <w:r w:rsidR="00236724">
        <w:t>mediju jomas pārstāvis.</w:t>
      </w:r>
    </w:p>
    <w:p w14:paraId="1411F2FD" w14:textId="77777777" w:rsidR="006B1EDF" w:rsidRPr="003E5DBF" w:rsidRDefault="006B1EDF" w:rsidP="007779D9">
      <w:pPr>
        <w:pStyle w:val="ListParagraph"/>
        <w:numPr>
          <w:ilvl w:val="1"/>
          <w:numId w:val="11"/>
        </w:numPr>
        <w:jc w:val="both"/>
        <w:rPr>
          <w:b/>
          <w:bCs/>
          <w:caps/>
        </w:rPr>
      </w:pPr>
      <w:r w:rsidRPr="00853BCD">
        <w:t>Komisijas uzdevumi:</w:t>
      </w:r>
    </w:p>
    <w:p w14:paraId="12CF4D23" w14:textId="688932B5" w:rsidR="006B1EDF" w:rsidRPr="003E5DBF" w:rsidRDefault="003E5DBF" w:rsidP="007779D9">
      <w:pPr>
        <w:pStyle w:val="ListParagraph"/>
        <w:numPr>
          <w:ilvl w:val="1"/>
          <w:numId w:val="37"/>
        </w:numPr>
        <w:jc w:val="both"/>
        <w:rPr>
          <w:b/>
          <w:bCs/>
          <w:caps/>
        </w:rPr>
      </w:pPr>
      <w:r>
        <w:t xml:space="preserve"> </w:t>
      </w:r>
      <w:r w:rsidR="006B1EDF" w:rsidRPr="00853BCD">
        <w:t>organizēt Konkursa norisi;</w:t>
      </w:r>
    </w:p>
    <w:p w14:paraId="35CEE4E6" w14:textId="23B5F26F" w:rsidR="006B1EDF" w:rsidRPr="003E5DBF" w:rsidRDefault="00214CC4" w:rsidP="007779D9">
      <w:pPr>
        <w:pStyle w:val="ListParagraph"/>
        <w:numPr>
          <w:ilvl w:val="1"/>
          <w:numId w:val="37"/>
        </w:numPr>
        <w:jc w:val="both"/>
        <w:rPr>
          <w:b/>
          <w:bCs/>
          <w:caps/>
        </w:rPr>
      </w:pPr>
      <w:r>
        <w:t xml:space="preserve"> </w:t>
      </w:r>
      <w:r w:rsidR="006B1EDF" w:rsidRPr="00853BCD">
        <w:t xml:space="preserve">izvērtēt iesniegtos </w:t>
      </w:r>
      <w:r w:rsidR="007779D9">
        <w:t xml:space="preserve">projekta </w:t>
      </w:r>
      <w:r w:rsidR="00D267B6">
        <w:t>pieteikumus saskaņā ar</w:t>
      </w:r>
      <w:r w:rsidR="006B1EDF" w:rsidRPr="00853BCD">
        <w:t xml:space="preserve"> nolikumu;</w:t>
      </w:r>
    </w:p>
    <w:p w14:paraId="5D301356" w14:textId="5E718132" w:rsidR="006B1EDF" w:rsidRPr="003E5DBF" w:rsidRDefault="00214CC4" w:rsidP="007779D9">
      <w:pPr>
        <w:pStyle w:val="ListParagraph"/>
        <w:numPr>
          <w:ilvl w:val="1"/>
          <w:numId w:val="37"/>
        </w:numPr>
        <w:jc w:val="both"/>
        <w:rPr>
          <w:b/>
          <w:bCs/>
          <w:caps/>
        </w:rPr>
      </w:pPr>
      <w:r>
        <w:t xml:space="preserve"> </w:t>
      </w:r>
      <w:r w:rsidR="006B1EDF" w:rsidRPr="00853BCD">
        <w:t>pieņemt lēmumu par finansējuma piešķiršanu</w:t>
      </w:r>
      <w:r w:rsidR="005C6BEF">
        <w:t xml:space="preserve"> pieprasītajā apmērā vai daļā,</w:t>
      </w:r>
      <w:r w:rsidR="00EA7B57">
        <w:t xml:space="preserve"> vai atteikumu</w:t>
      </w:r>
      <w:r>
        <w:t xml:space="preserve"> piešķirt finansējumu</w:t>
      </w:r>
      <w:r w:rsidR="00EA7B57">
        <w:t>.</w:t>
      </w:r>
    </w:p>
    <w:p w14:paraId="1862A489" w14:textId="5E30C29E" w:rsidR="006B1EDF" w:rsidRPr="00236724" w:rsidRDefault="006B1EDF" w:rsidP="00236724">
      <w:pPr>
        <w:pStyle w:val="ListParagraph"/>
        <w:numPr>
          <w:ilvl w:val="0"/>
          <w:numId w:val="27"/>
        </w:numPr>
        <w:jc w:val="both"/>
      </w:pPr>
      <w:r w:rsidRPr="00853BCD">
        <w:t>Komisijas tiesības:</w:t>
      </w:r>
    </w:p>
    <w:p w14:paraId="1B4ECA87" w14:textId="009D5068" w:rsidR="00262DEE" w:rsidRPr="008715C4" w:rsidRDefault="006B1EDF" w:rsidP="000526B2">
      <w:pPr>
        <w:pStyle w:val="ListParagraph"/>
        <w:numPr>
          <w:ilvl w:val="1"/>
          <w:numId w:val="27"/>
        </w:numPr>
        <w:jc w:val="both"/>
        <w:rPr>
          <w:b/>
          <w:bCs/>
          <w:caps/>
        </w:rPr>
      </w:pPr>
      <w:r w:rsidRPr="00853BCD">
        <w:t xml:space="preserve">pieprasīt </w:t>
      </w:r>
      <w:r w:rsidR="00AA7FF7">
        <w:t>papildu</w:t>
      </w:r>
      <w:r w:rsidR="005C6BEF">
        <w:t xml:space="preserve"> </w:t>
      </w:r>
      <w:r w:rsidR="005C6BEF" w:rsidRPr="00853BCD">
        <w:t>informāciju</w:t>
      </w:r>
      <w:r w:rsidR="005C6BEF">
        <w:t xml:space="preserve"> </w:t>
      </w:r>
      <w:r w:rsidRPr="00853BCD">
        <w:t xml:space="preserve">no </w:t>
      </w:r>
      <w:r w:rsidR="000526B2" w:rsidRPr="000526B2">
        <w:t xml:space="preserve">valsts un pašvaldību institūcijām, kā arī </w:t>
      </w:r>
      <w:r w:rsidR="00214CC4">
        <w:t>Pretendentiem</w:t>
      </w:r>
      <w:r w:rsidR="005C6BEF">
        <w:t>,</w:t>
      </w:r>
      <w:r w:rsidR="007779D9">
        <w:t xml:space="preserve"> kas iesnieguši</w:t>
      </w:r>
      <w:r w:rsidRPr="00853BCD">
        <w:t xml:space="preserve"> </w:t>
      </w:r>
      <w:r w:rsidR="00B239A9">
        <w:t>p</w:t>
      </w:r>
      <w:r w:rsidRPr="00853BCD">
        <w:t>rojektu pieteikumu</w:t>
      </w:r>
      <w:r w:rsidR="005C6BEF">
        <w:t>;</w:t>
      </w:r>
      <w:r w:rsidRPr="00853BCD">
        <w:t xml:space="preserve"> </w:t>
      </w:r>
    </w:p>
    <w:p w14:paraId="38BC5DB5" w14:textId="0A27CBCF" w:rsidR="00262DEE" w:rsidRPr="008715C4" w:rsidRDefault="00B239A9" w:rsidP="007779D9">
      <w:pPr>
        <w:pStyle w:val="ListParagraph"/>
        <w:numPr>
          <w:ilvl w:val="1"/>
          <w:numId w:val="27"/>
        </w:numPr>
        <w:jc w:val="both"/>
        <w:rPr>
          <w:b/>
          <w:bCs/>
          <w:caps/>
        </w:rPr>
      </w:pPr>
      <w:r>
        <w:t xml:space="preserve">nepieciešamības gadījumā </w:t>
      </w:r>
      <w:r w:rsidR="00214CC4">
        <w:t>uz p</w:t>
      </w:r>
      <w:r w:rsidR="005C6BEF">
        <w:t>rojektu pieteikumu izskatīšanu uzaicināt attiecīgās jomas</w:t>
      </w:r>
      <w:r>
        <w:t xml:space="preserve"> pārstāvjus viedokļa sniegšanai.</w:t>
      </w:r>
    </w:p>
    <w:p w14:paraId="65C5C30E" w14:textId="6788210E" w:rsidR="00262DEE" w:rsidRPr="008715C4" w:rsidRDefault="00B239A9" w:rsidP="007779D9">
      <w:pPr>
        <w:pStyle w:val="ListParagraph"/>
        <w:numPr>
          <w:ilvl w:val="0"/>
          <w:numId w:val="27"/>
        </w:numPr>
        <w:jc w:val="both"/>
        <w:rPr>
          <w:b/>
          <w:bCs/>
          <w:caps/>
        </w:rPr>
      </w:pPr>
      <w:r>
        <w:t xml:space="preserve"> </w:t>
      </w:r>
      <w:r w:rsidR="006B1EDF" w:rsidRPr="00853BCD">
        <w:t xml:space="preserve">Komisijas organizatorisko un tehnisko apkalpošanu nodrošina </w:t>
      </w:r>
      <w:r w:rsidR="001B3D4E">
        <w:t>pašvaldības iestāde “Centrālā pārvalde”.</w:t>
      </w:r>
    </w:p>
    <w:p w14:paraId="51CC5FAC" w14:textId="0892102F" w:rsidR="008715C4" w:rsidRPr="008715C4" w:rsidRDefault="008715C4" w:rsidP="007779D9">
      <w:pPr>
        <w:pStyle w:val="ListParagraph"/>
        <w:numPr>
          <w:ilvl w:val="0"/>
          <w:numId w:val="27"/>
        </w:numPr>
        <w:jc w:val="both"/>
        <w:rPr>
          <w:b/>
          <w:bCs/>
          <w:caps/>
        </w:rPr>
      </w:pPr>
      <w:r w:rsidRPr="00DA51C3">
        <w:t>Komisijas locekļi ir valsts amatpersonas.</w:t>
      </w:r>
    </w:p>
    <w:p w14:paraId="624CD881" w14:textId="019C40BB" w:rsidR="006B1EDF" w:rsidRPr="008715C4" w:rsidRDefault="002D56FA" w:rsidP="007779D9">
      <w:pPr>
        <w:pStyle w:val="ListParagraph"/>
        <w:numPr>
          <w:ilvl w:val="0"/>
          <w:numId w:val="27"/>
        </w:numPr>
        <w:jc w:val="both"/>
        <w:rPr>
          <w:b/>
          <w:bCs/>
          <w:caps/>
        </w:rPr>
      </w:pPr>
      <w:r w:rsidRPr="00DA51C3">
        <w:t>Komisijas priekšsēdētāja prombūtnes laikā viņa pienākumus pilda Kom</w:t>
      </w:r>
      <w:r>
        <w:t>isijas priekšsēdētāja vietnieks</w:t>
      </w:r>
      <w:r w:rsidR="006B1EDF" w:rsidRPr="00853BCD">
        <w:t>.</w:t>
      </w:r>
    </w:p>
    <w:p w14:paraId="391AAB33" w14:textId="77777777" w:rsidR="006B1EDF" w:rsidRPr="008715C4" w:rsidRDefault="006B1EDF" w:rsidP="007779D9">
      <w:pPr>
        <w:pStyle w:val="ListParagraph"/>
        <w:numPr>
          <w:ilvl w:val="0"/>
          <w:numId w:val="27"/>
        </w:numPr>
        <w:jc w:val="both"/>
        <w:rPr>
          <w:b/>
          <w:bCs/>
          <w:caps/>
        </w:rPr>
      </w:pPr>
      <w:r w:rsidRPr="00853BCD">
        <w:t>Komisijas priekšsēdētājs:</w:t>
      </w:r>
    </w:p>
    <w:p w14:paraId="4F26914D" w14:textId="77777777" w:rsidR="006B1EDF" w:rsidRPr="008715C4" w:rsidRDefault="006B1EDF" w:rsidP="007779D9">
      <w:pPr>
        <w:pStyle w:val="ListParagraph"/>
        <w:numPr>
          <w:ilvl w:val="1"/>
          <w:numId w:val="27"/>
        </w:numPr>
        <w:jc w:val="both"/>
        <w:rPr>
          <w:b/>
          <w:bCs/>
          <w:caps/>
        </w:rPr>
      </w:pPr>
      <w:r w:rsidRPr="00853BCD">
        <w:t>organizē un nodrošina Komisijas darbu;</w:t>
      </w:r>
    </w:p>
    <w:p w14:paraId="15A125A5" w14:textId="77777777" w:rsidR="006B1EDF" w:rsidRPr="008715C4" w:rsidRDefault="001B3D4E" w:rsidP="007779D9">
      <w:pPr>
        <w:pStyle w:val="ListParagraph"/>
        <w:numPr>
          <w:ilvl w:val="1"/>
          <w:numId w:val="27"/>
        </w:numPr>
        <w:jc w:val="both"/>
        <w:rPr>
          <w:b/>
          <w:bCs/>
          <w:caps/>
        </w:rPr>
      </w:pPr>
      <w:r>
        <w:t>sasauc un vada Komisijas sēdes.</w:t>
      </w:r>
    </w:p>
    <w:p w14:paraId="622DE948" w14:textId="61854110" w:rsidR="006B1EDF" w:rsidRPr="008715C4" w:rsidRDefault="006B1EDF" w:rsidP="007779D9">
      <w:pPr>
        <w:pStyle w:val="ListParagraph"/>
        <w:numPr>
          <w:ilvl w:val="0"/>
          <w:numId w:val="27"/>
        </w:numPr>
        <w:jc w:val="both"/>
        <w:rPr>
          <w:b/>
          <w:bCs/>
          <w:caps/>
        </w:rPr>
      </w:pPr>
      <w:r w:rsidRPr="00853BCD">
        <w:t>Komisijas sēdes var notikt, ja tajās piedalās vairāk nekā puse</w:t>
      </w:r>
      <w:r w:rsidR="007779D9">
        <w:t xml:space="preserve"> no Komisijas locekļiem. Lēmumu</w:t>
      </w:r>
      <w:r w:rsidRPr="00853BCD">
        <w:t xml:space="preserve"> pieņem ar klātesošo Komisijas locekļu balsu vairākumu. Ja balsis sadalās līdzīgi, izšķirošā ir Komisijas priekšsēdētāja balss.</w:t>
      </w:r>
    </w:p>
    <w:p w14:paraId="165B4DCB" w14:textId="77777777" w:rsidR="006B1EDF" w:rsidRPr="00D267B6" w:rsidRDefault="006B1EDF" w:rsidP="007779D9">
      <w:pPr>
        <w:pStyle w:val="ListParagraph"/>
        <w:numPr>
          <w:ilvl w:val="0"/>
          <w:numId w:val="27"/>
        </w:numPr>
        <w:jc w:val="both"/>
        <w:rPr>
          <w:b/>
          <w:bCs/>
          <w:caps/>
        </w:rPr>
      </w:pPr>
      <w:r w:rsidRPr="00853BCD">
        <w:t>Komisijas sēdes tiek protokolētas. Protokolu paraksta Komisijas priekšsēdētājs un Komisijas sekretārs.</w:t>
      </w:r>
    </w:p>
    <w:p w14:paraId="34A6B3FB" w14:textId="4531B2BC" w:rsidR="00D267B6" w:rsidRPr="00D267B6" w:rsidRDefault="00D267B6" w:rsidP="00D267B6">
      <w:pPr>
        <w:pStyle w:val="ListParagraph"/>
        <w:numPr>
          <w:ilvl w:val="0"/>
          <w:numId w:val="27"/>
        </w:numPr>
        <w:rPr>
          <w:bCs/>
          <w:caps/>
        </w:rPr>
      </w:pPr>
      <w:r w:rsidRPr="00D267B6">
        <w:rPr>
          <w:bCs/>
          <w:caps/>
        </w:rPr>
        <w:t>K</w:t>
      </w:r>
      <w:r w:rsidRPr="00D267B6">
        <w:rPr>
          <w:bCs/>
        </w:rPr>
        <w:t>omisija pilda savus pienākumus līdz jaunas komisijas sastāva apstiprināšanai.</w:t>
      </w:r>
    </w:p>
    <w:p w14:paraId="47C42808" w14:textId="77777777" w:rsidR="006B1EDF" w:rsidRPr="00853BCD" w:rsidRDefault="006B1EDF" w:rsidP="006B1EDF">
      <w:pPr>
        <w:jc w:val="both"/>
      </w:pPr>
    </w:p>
    <w:p w14:paraId="681BDDF8" w14:textId="53483101" w:rsidR="00BA3E92" w:rsidRDefault="00BA3E92" w:rsidP="00F01A4E">
      <w:pPr>
        <w:pStyle w:val="ListParagraph"/>
        <w:numPr>
          <w:ilvl w:val="0"/>
          <w:numId w:val="2"/>
        </w:numPr>
        <w:ind w:left="709" w:hanging="349"/>
        <w:jc w:val="center"/>
        <w:rPr>
          <w:b/>
          <w:bCs/>
          <w:caps/>
        </w:rPr>
      </w:pPr>
      <w:r>
        <w:rPr>
          <w:b/>
          <w:bCs/>
          <w:caps/>
        </w:rPr>
        <w:t>pieteikumu vērtēšanas kritēriji</w:t>
      </w:r>
    </w:p>
    <w:p w14:paraId="314EF04C" w14:textId="77777777" w:rsidR="00F01A4E" w:rsidRDefault="00F01A4E" w:rsidP="00F01A4E">
      <w:pPr>
        <w:pStyle w:val="ListParagraph"/>
        <w:ind w:left="1080"/>
        <w:rPr>
          <w:b/>
          <w:bCs/>
          <w:caps/>
        </w:rPr>
      </w:pPr>
    </w:p>
    <w:p w14:paraId="787250B1" w14:textId="42DE96E7" w:rsidR="00BA3E92" w:rsidRPr="00BA3E92" w:rsidRDefault="00BA3E92" w:rsidP="00BA3E92">
      <w:pPr>
        <w:pStyle w:val="ListParagraph"/>
        <w:numPr>
          <w:ilvl w:val="0"/>
          <w:numId w:val="27"/>
        </w:numPr>
        <w:rPr>
          <w:bCs/>
          <w:caps/>
        </w:rPr>
      </w:pPr>
      <w:r>
        <w:rPr>
          <w:bCs/>
        </w:rPr>
        <w:t>I</w:t>
      </w:r>
      <w:r w:rsidRPr="00BA3E92">
        <w:rPr>
          <w:bCs/>
        </w:rPr>
        <w:t>esniegtos pieteikumus</w:t>
      </w:r>
      <w:r w:rsidR="000E48C9">
        <w:rPr>
          <w:bCs/>
        </w:rPr>
        <w:t xml:space="preserve">, kas atbilst </w:t>
      </w:r>
      <w:r w:rsidR="000E48C9" w:rsidRPr="003E5DBF">
        <w:rPr>
          <w:bCs/>
        </w:rPr>
        <w:t xml:space="preserve">nolikuma </w:t>
      </w:r>
      <w:r w:rsidR="00900454" w:rsidRPr="003E5DBF">
        <w:rPr>
          <w:bCs/>
        </w:rPr>
        <w:t>7</w:t>
      </w:r>
      <w:r w:rsidR="000E48C9" w:rsidRPr="003E5DBF">
        <w:rPr>
          <w:bCs/>
        </w:rPr>
        <w:t xml:space="preserve">. punktam, </w:t>
      </w:r>
      <w:r w:rsidRPr="003E5DBF">
        <w:rPr>
          <w:bCs/>
        </w:rPr>
        <w:t xml:space="preserve"> Komisijas</w:t>
      </w:r>
      <w:r w:rsidRPr="00BA3E92">
        <w:rPr>
          <w:bCs/>
        </w:rPr>
        <w:t xml:space="preserve"> vērtē </w:t>
      </w:r>
      <w:r>
        <w:rPr>
          <w:bCs/>
        </w:rPr>
        <w:t>p</w:t>
      </w:r>
      <w:r w:rsidRPr="00BA3E92">
        <w:rPr>
          <w:bCs/>
        </w:rPr>
        <w:t>ēc šādiem kritērijiem</w:t>
      </w:r>
      <w:r>
        <w:rPr>
          <w:b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882"/>
        <w:gridCol w:w="1559"/>
        <w:gridCol w:w="4819"/>
      </w:tblGrid>
      <w:tr w:rsidR="00BA3E92" w:rsidRPr="002D0BE5" w14:paraId="3FA2D528" w14:textId="77777777" w:rsidTr="006D2734">
        <w:tc>
          <w:tcPr>
            <w:tcW w:w="812" w:type="dxa"/>
            <w:vAlign w:val="center"/>
          </w:tcPr>
          <w:p w14:paraId="0E62C8EB" w14:textId="77777777" w:rsidR="00BA3E92" w:rsidRPr="006D2734" w:rsidRDefault="00BA3E92" w:rsidP="006D2734">
            <w:pPr>
              <w:jc w:val="both"/>
              <w:rPr>
                <w:color w:val="000000"/>
              </w:rPr>
            </w:pPr>
            <w:r w:rsidRPr="006D2734">
              <w:rPr>
                <w:b/>
                <w:color w:val="000000"/>
              </w:rPr>
              <w:t>Nr.</w:t>
            </w:r>
          </w:p>
        </w:tc>
        <w:tc>
          <w:tcPr>
            <w:tcW w:w="1882" w:type="dxa"/>
            <w:vAlign w:val="center"/>
          </w:tcPr>
          <w:p w14:paraId="7EC2941E" w14:textId="3DAF714D" w:rsidR="00BA3E92" w:rsidRPr="006D2734" w:rsidRDefault="00BA3E92" w:rsidP="006D2734">
            <w:pPr>
              <w:pStyle w:val="Heading1"/>
              <w:spacing w:before="0" w:after="0" w:line="240" w:lineRule="auto"/>
              <w:jc w:val="both"/>
              <w:rPr>
                <w:rFonts w:ascii="Times New Roman" w:hAnsi="Times New Roman" w:cs="Times New Roman"/>
                <w:color w:val="000000"/>
                <w:sz w:val="24"/>
                <w:szCs w:val="24"/>
              </w:rPr>
            </w:pPr>
            <w:r w:rsidRPr="006D2734">
              <w:rPr>
                <w:rFonts w:ascii="Times New Roman" w:hAnsi="Times New Roman" w:cs="Times New Roman"/>
                <w:color w:val="000000"/>
                <w:sz w:val="24"/>
                <w:szCs w:val="24"/>
              </w:rPr>
              <w:t>Kritērij</w:t>
            </w:r>
            <w:r w:rsidR="006D2734" w:rsidRPr="006D2734">
              <w:rPr>
                <w:rFonts w:ascii="Times New Roman" w:hAnsi="Times New Roman" w:cs="Times New Roman"/>
                <w:color w:val="000000"/>
                <w:sz w:val="24"/>
                <w:szCs w:val="24"/>
              </w:rPr>
              <w:t>s</w:t>
            </w:r>
          </w:p>
        </w:tc>
        <w:tc>
          <w:tcPr>
            <w:tcW w:w="1559" w:type="dxa"/>
            <w:vAlign w:val="center"/>
          </w:tcPr>
          <w:p w14:paraId="09B93E4F" w14:textId="77777777" w:rsidR="00BA3E92" w:rsidRPr="006D2734" w:rsidRDefault="00BA3E92" w:rsidP="006D2734">
            <w:pPr>
              <w:jc w:val="both"/>
              <w:rPr>
                <w:b/>
                <w:color w:val="000000"/>
              </w:rPr>
            </w:pPr>
            <w:r w:rsidRPr="006D2734">
              <w:rPr>
                <w:b/>
                <w:color w:val="000000"/>
              </w:rPr>
              <w:t>Maksimālais punktu skaits</w:t>
            </w:r>
          </w:p>
        </w:tc>
        <w:tc>
          <w:tcPr>
            <w:tcW w:w="4819" w:type="dxa"/>
            <w:vAlign w:val="center"/>
          </w:tcPr>
          <w:p w14:paraId="22981679" w14:textId="36AA23C5" w:rsidR="00BA3E92" w:rsidRPr="006D2734" w:rsidRDefault="006D2734" w:rsidP="006D2734">
            <w:pPr>
              <w:jc w:val="both"/>
              <w:rPr>
                <w:b/>
                <w:color w:val="000000"/>
              </w:rPr>
            </w:pPr>
            <w:r>
              <w:rPr>
                <w:b/>
                <w:color w:val="000000"/>
              </w:rPr>
              <w:t>Vērtējums</w:t>
            </w:r>
          </w:p>
        </w:tc>
      </w:tr>
      <w:tr w:rsidR="00BA3E92" w:rsidRPr="006D2734" w14:paraId="439775E9" w14:textId="77777777" w:rsidTr="006D2734">
        <w:tc>
          <w:tcPr>
            <w:tcW w:w="812" w:type="dxa"/>
          </w:tcPr>
          <w:p w14:paraId="4001399D" w14:textId="45ABE6EA" w:rsidR="00BA3E92" w:rsidRPr="006D2734" w:rsidRDefault="006D2734" w:rsidP="006D2734">
            <w:pPr>
              <w:jc w:val="both"/>
              <w:rPr>
                <w:color w:val="000000"/>
              </w:rPr>
            </w:pPr>
            <w:r w:rsidRPr="006D2734">
              <w:rPr>
                <w:color w:val="000000"/>
              </w:rPr>
              <w:lastRenderedPageBreak/>
              <w:t>1.</w:t>
            </w:r>
          </w:p>
          <w:p w14:paraId="0A0C21A4" w14:textId="77777777" w:rsidR="00BA3E92" w:rsidRPr="006D2734" w:rsidRDefault="00BA3E92" w:rsidP="006D2734">
            <w:pPr>
              <w:jc w:val="both"/>
              <w:rPr>
                <w:color w:val="000000"/>
              </w:rPr>
            </w:pPr>
          </w:p>
        </w:tc>
        <w:tc>
          <w:tcPr>
            <w:tcW w:w="1882" w:type="dxa"/>
          </w:tcPr>
          <w:p w14:paraId="0E734FBF" w14:textId="4A15FA65" w:rsidR="00BA3E92" w:rsidRPr="006D2734" w:rsidRDefault="006D2734" w:rsidP="006D2734">
            <w:pPr>
              <w:jc w:val="both"/>
              <w:rPr>
                <w:color w:val="000000"/>
              </w:rPr>
            </w:pPr>
            <w:r w:rsidRPr="006D2734">
              <w:rPr>
                <w:color w:val="000000" w:themeColor="text1"/>
              </w:rPr>
              <w:t>Projekta a</w:t>
            </w:r>
            <w:r w:rsidR="00BA3E92" w:rsidRPr="006D2734">
              <w:rPr>
                <w:color w:val="000000" w:themeColor="text1"/>
              </w:rPr>
              <w:t xml:space="preserve">tbilstība Programmas mērķim </w:t>
            </w:r>
          </w:p>
        </w:tc>
        <w:tc>
          <w:tcPr>
            <w:tcW w:w="1559" w:type="dxa"/>
          </w:tcPr>
          <w:p w14:paraId="78C70A94" w14:textId="77777777" w:rsidR="00BA3E92" w:rsidRPr="006D2734" w:rsidRDefault="00BA3E92" w:rsidP="006D2734">
            <w:pPr>
              <w:jc w:val="both"/>
              <w:rPr>
                <w:color w:val="000000"/>
              </w:rPr>
            </w:pPr>
            <w:r w:rsidRPr="006D2734">
              <w:rPr>
                <w:color w:val="000000" w:themeColor="text1"/>
              </w:rPr>
              <w:t>5</w:t>
            </w:r>
          </w:p>
        </w:tc>
        <w:tc>
          <w:tcPr>
            <w:tcW w:w="4819" w:type="dxa"/>
          </w:tcPr>
          <w:p w14:paraId="06EDD8D0" w14:textId="77777777" w:rsidR="00BA3E92" w:rsidRPr="006D2734" w:rsidRDefault="00BA3E92" w:rsidP="006D2734">
            <w:pPr>
              <w:jc w:val="both"/>
              <w:rPr>
                <w:color w:val="000000"/>
              </w:rPr>
            </w:pPr>
            <w:r w:rsidRPr="006D2734">
              <w:rPr>
                <w:b/>
                <w:bCs/>
                <w:color w:val="000000" w:themeColor="text1"/>
              </w:rPr>
              <w:t>(5 punkti)</w:t>
            </w:r>
            <w:r w:rsidRPr="006D2734">
              <w:rPr>
                <w:color w:val="000000" w:themeColor="text1"/>
              </w:rPr>
              <w:t xml:space="preserve"> Projekta pieteikums pilnībā atbilst Programmas mērķim.</w:t>
            </w:r>
          </w:p>
          <w:p w14:paraId="6DA35F94" w14:textId="77777777" w:rsidR="00BA3E92" w:rsidRPr="006D2734" w:rsidRDefault="00BA3E92" w:rsidP="006D2734">
            <w:pPr>
              <w:jc w:val="both"/>
              <w:rPr>
                <w:color w:val="000000" w:themeColor="text1"/>
              </w:rPr>
            </w:pPr>
            <w:r w:rsidRPr="006D2734">
              <w:rPr>
                <w:b/>
                <w:bCs/>
                <w:color w:val="000000" w:themeColor="text1"/>
              </w:rPr>
              <w:t>(3 punkti)</w:t>
            </w:r>
            <w:r w:rsidRPr="006D2734">
              <w:rPr>
                <w:color w:val="000000" w:themeColor="text1"/>
              </w:rPr>
              <w:t xml:space="preserve"> Projekta pieteikums daļēji atbilst Programmas mērķim. </w:t>
            </w:r>
          </w:p>
          <w:p w14:paraId="2F969D90" w14:textId="77777777" w:rsidR="00BA3E92" w:rsidRPr="006D2734" w:rsidRDefault="00BA3E92" w:rsidP="006D2734">
            <w:pPr>
              <w:jc w:val="both"/>
            </w:pPr>
            <w:r w:rsidRPr="006D2734">
              <w:rPr>
                <w:b/>
                <w:bCs/>
                <w:color w:val="000000" w:themeColor="text1"/>
              </w:rPr>
              <w:t>(1 punkts)</w:t>
            </w:r>
            <w:r w:rsidRPr="006D2734">
              <w:rPr>
                <w:color w:val="000000" w:themeColor="text1"/>
              </w:rPr>
              <w:t xml:space="preserve"> Projekta pieteikumā </w:t>
            </w:r>
            <w:r w:rsidRPr="006D2734">
              <w:t>informācija ir grūti uztverama, tikai dažas no plānotajām aktivitātēm varētu būt atbilstošas Programmas mērķim.</w:t>
            </w:r>
          </w:p>
          <w:p w14:paraId="40276D43" w14:textId="77777777" w:rsidR="00BA3E92" w:rsidRPr="006D2734" w:rsidRDefault="00BA3E92" w:rsidP="006D2734">
            <w:pPr>
              <w:jc w:val="both"/>
              <w:rPr>
                <w:color w:val="000000"/>
              </w:rPr>
            </w:pPr>
            <w:r w:rsidRPr="006D2734">
              <w:rPr>
                <w:b/>
                <w:bCs/>
                <w:color w:val="000000" w:themeColor="text1"/>
              </w:rPr>
              <w:t>(0 punkti)</w:t>
            </w:r>
            <w:r w:rsidRPr="006D2734">
              <w:rPr>
                <w:color w:val="000000" w:themeColor="text1"/>
              </w:rPr>
              <w:t xml:space="preserve"> Projekta pieteikums neatbilst Programmas mērķim.</w:t>
            </w:r>
          </w:p>
        </w:tc>
      </w:tr>
      <w:tr w:rsidR="00BA3E92" w:rsidRPr="002D0BE5" w14:paraId="1DBA3BF8" w14:textId="77777777" w:rsidTr="006D2734">
        <w:tc>
          <w:tcPr>
            <w:tcW w:w="812" w:type="dxa"/>
          </w:tcPr>
          <w:p w14:paraId="24934BEE" w14:textId="4F59DE53" w:rsidR="00BA3E92" w:rsidRPr="006D2734" w:rsidRDefault="00BA3E92" w:rsidP="006D2734">
            <w:pPr>
              <w:jc w:val="both"/>
              <w:rPr>
                <w:color w:val="000000"/>
              </w:rPr>
            </w:pPr>
            <w:r w:rsidRPr="006D2734">
              <w:rPr>
                <w:color w:val="000000"/>
              </w:rPr>
              <w:t>2.</w:t>
            </w:r>
          </w:p>
        </w:tc>
        <w:tc>
          <w:tcPr>
            <w:tcW w:w="1882" w:type="dxa"/>
          </w:tcPr>
          <w:p w14:paraId="41D4AC99" w14:textId="2A71BC02" w:rsidR="00BA3E92" w:rsidRPr="006D2734" w:rsidRDefault="00BA3E92" w:rsidP="007779D9">
            <w:pPr>
              <w:jc w:val="both"/>
              <w:rPr>
                <w:color w:val="000000"/>
              </w:rPr>
            </w:pPr>
            <w:r w:rsidRPr="006D2734">
              <w:rPr>
                <w:color w:val="000000"/>
              </w:rPr>
              <w:t xml:space="preserve">Projekta </w:t>
            </w:r>
            <w:r w:rsidR="006D2734">
              <w:rPr>
                <w:color w:val="000000"/>
              </w:rPr>
              <w:t>apraksta</w:t>
            </w:r>
            <w:r w:rsidRPr="006D2734">
              <w:rPr>
                <w:color w:val="000000"/>
              </w:rPr>
              <w:t xml:space="preserve"> detalizācija</w:t>
            </w:r>
          </w:p>
        </w:tc>
        <w:tc>
          <w:tcPr>
            <w:tcW w:w="1559" w:type="dxa"/>
          </w:tcPr>
          <w:p w14:paraId="16EE39D5" w14:textId="77777777" w:rsidR="00BA3E92" w:rsidRPr="006D2734" w:rsidRDefault="00BA3E92" w:rsidP="006D2734">
            <w:pPr>
              <w:jc w:val="both"/>
              <w:rPr>
                <w:color w:val="000000"/>
              </w:rPr>
            </w:pPr>
            <w:r w:rsidRPr="006D2734">
              <w:rPr>
                <w:color w:val="000000"/>
              </w:rPr>
              <w:t>5</w:t>
            </w:r>
          </w:p>
        </w:tc>
        <w:tc>
          <w:tcPr>
            <w:tcW w:w="4819" w:type="dxa"/>
          </w:tcPr>
          <w:p w14:paraId="4C2D6876" w14:textId="77777777" w:rsidR="00BA3E92" w:rsidRPr="006D2734" w:rsidRDefault="00BA3E92" w:rsidP="006D2734">
            <w:pPr>
              <w:jc w:val="both"/>
              <w:rPr>
                <w:color w:val="000000"/>
              </w:rPr>
            </w:pPr>
            <w:r w:rsidRPr="006D2734">
              <w:rPr>
                <w:b/>
                <w:color w:val="000000"/>
              </w:rPr>
              <w:t xml:space="preserve">(5 punkti) </w:t>
            </w:r>
            <w:r w:rsidRPr="006D2734">
              <w:rPr>
                <w:color w:val="000000"/>
              </w:rPr>
              <w:t>Projekta pieteikums ir izstrādāts detalizēti un ir pārdomāts, pārliecinot par projektā plānoto uzdevumu sekmīgu veikšanu.</w:t>
            </w:r>
          </w:p>
          <w:p w14:paraId="050D46AB" w14:textId="77777777" w:rsidR="00BA3E92" w:rsidRPr="006D2734" w:rsidRDefault="00BA3E92" w:rsidP="006D2734">
            <w:pPr>
              <w:jc w:val="both"/>
              <w:rPr>
                <w:b/>
                <w:color w:val="000000"/>
              </w:rPr>
            </w:pPr>
            <w:r w:rsidRPr="006D2734">
              <w:rPr>
                <w:b/>
                <w:color w:val="000000"/>
              </w:rPr>
              <w:t xml:space="preserve">(3 punkti) </w:t>
            </w:r>
            <w:r w:rsidRPr="006D2734">
              <w:rPr>
                <w:color w:val="000000"/>
              </w:rPr>
              <w:t>Projekta pieteikums ir izstrādāts detalizēti, bet tajā vērojamas atsevišķas nepilnības, taču kopumā tas pārliecina par projektā plānoto uzdevumu sekmīgu veikšanu.</w:t>
            </w:r>
          </w:p>
          <w:p w14:paraId="695CD2C1" w14:textId="77777777" w:rsidR="00BA3E92" w:rsidRPr="006D2734" w:rsidRDefault="00BA3E92" w:rsidP="006D2734">
            <w:pPr>
              <w:jc w:val="both"/>
              <w:rPr>
                <w:color w:val="000000"/>
              </w:rPr>
            </w:pPr>
            <w:r w:rsidRPr="006D2734">
              <w:rPr>
                <w:b/>
                <w:color w:val="000000"/>
              </w:rPr>
              <w:t xml:space="preserve">(1 punkts) </w:t>
            </w:r>
            <w:r w:rsidRPr="006D2734">
              <w:rPr>
                <w:color w:val="000000"/>
              </w:rPr>
              <w:t>Projekta pieteikums nav izstrādāts pietiekami detalizēti un/vai nerada pārliecību par pilnīgu projektā plānoto uzdevumu veikšanu.</w:t>
            </w:r>
          </w:p>
          <w:p w14:paraId="290E1EA4" w14:textId="77777777" w:rsidR="00BA3E92" w:rsidRPr="006D2734" w:rsidRDefault="00BA3E92" w:rsidP="006D2734">
            <w:pPr>
              <w:jc w:val="both"/>
              <w:rPr>
                <w:color w:val="000000"/>
              </w:rPr>
            </w:pPr>
            <w:r w:rsidRPr="006D2734">
              <w:rPr>
                <w:b/>
                <w:color w:val="000000"/>
              </w:rPr>
              <w:t xml:space="preserve">(0 punkti) </w:t>
            </w:r>
            <w:r w:rsidRPr="006D2734">
              <w:rPr>
                <w:color w:val="000000"/>
              </w:rPr>
              <w:t>Projekta pieteikums nav izstrādāts detalizēti un nerada pārliecību par projektā plānoto uzdevumu veikšanu.</w:t>
            </w:r>
          </w:p>
        </w:tc>
      </w:tr>
      <w:tr w:rsidR="00BA3E92" w:rsidRPr="002D0BE5" w14:paraId="707FF5E3" w14:textId="77777777" w:rsidTr="006D2734">
        <w:tc>
          <w:tcPr>
            <w:tcW w:w="812" w:type="dxa"/>
          </w:tcPr>
          <w:p w14:paraId="0C9B4A07" w14:textId="0DA87B57" w:rsidR="00BA3E92" w:rsidRPr="006D2734" w:rsidRDefault="00BA3E92" w:rsidP="006D2734">
            <w:pPr>
              <w:jc w:val="both"/>
              <w:rPr>
                <w:color w:val="000000"/>
              </w:rPr>
            </w:pPr>
            <w:r w:rsidRPr="006D2734">
              <w:rPr>
                <w:color w:val="000000"/>
              </w:rPr>
              <w:t>3.</w:t>
            </w:r>
          </w:p>
        </w:tc>
        <w:tc>
          <w:tcPr>
            <w:tcW w:w="1882" w:type="dxa"/>
          </w:tcPr>
          <w:p w14:paraId="3C73931C" w14:textId="77777777" w:rsidR="00BA3E92" w:rsidRPr="006D2734" w:rsidRDefault="00BA3E92" w:rsidP="006D2734">
            <w:pPr>
              <w:jc w:val="both"/>
              <w:rPr>
                <w:color w:val="000000"/>
              </w:rPr>
            </w:pPr>
            <w:r w:rsidRPr="006D2734">
              <w:rPr>
                <w:color w:val="000000"/>
              </w:rPr>
              <w:t xml:space="preserve">Projekta sasniedzamajiem rezultātiem ir ilgtspējīgs efekts, tostarp, medija profesionālās kvalitātes uzlabošanā </w:t>
            </w:r>
          </w:p>
        </w:tc>
        <w:tc>
          <w:tcPr>
            <w:tcW w:w="1559" w:type="dxa"/>
          </w:tcPr>
          <w:p w14:paraId="38DF653A" w14:textId="77777777" w:rsidR="00BA3E92" w:rsidRPr="006D2734" w:rsidRDefault="00BA3E92" w:rsidP="006D2734">
            <w:pPr>
              <w:jc w:val="both"/>
              <w:rPr>
                <w:color w:val="000000"/>
              </w:rPr>
            </w:pPr>
            <w:r w:rsidRPr="006D2734">
              <w:rPr>
                <w:color w:val="000000" w:themeColor="text1"/>
              </w:rPr>
              <w:t>5</w:t>
            </w:r>
          </w:p>
        </w:tc>
        <w:tc>
          <w:tcPr>
            <w:tcW w:w="4819" w:type="dxa"/>
          </w:tcPr>
          <w:p w14:paraId="6D3B238E" w14:textId="77777777" w:rsidR="00BA3E92" w:rsidRPr="006D2734" w:rsidRDefault="00BA3E92" w:rsidP="006D2734">
            <w:pPr>
              <w:jc w:val="both"/>
              <w:rPr>
                <w:color w:val="000000"/>
              </w:rPr>
            </w:pPr>
            <w:r w:rsidRPr="006D2734">
              <w:rPr>
                <w:b/>
                <w:bCs/>
                <w:color w:val="000000"/>
              </w:rPr>
              <w:t xml:space="preserve">(5 punkti) </w:t>
            </w:r>
            <w:r w:rsidRPr="006D2734">
              <w:rPr>
                <w:color w:val="000000"/>
              </w:rPr>
              <w:t>Projekta sasniedzamajiem rezultātiem ir ilgtspējīgs efekts un projekts pārliecina par tā potenciālu uzlabot medija profesionālo kvalitāti ilgtermiņā, piemēram, projektā paredzētas paliekošas inovācijas medija darbā, medija satura dažādošana, plašākas auditorijas piesaiste un tamlīdzīgi, kā arī nodrošināta radītā satura pēctecība.</w:t>
            </w:r>
          </w:p>
          <w:p w14:paraId="10CFF55A" w14:textId="77777777" w:rsidR="00BA3E92" w:rsidRPr="006D2734" w:rsidRDefault="00BA3E92" w:rsidP="006D2734">
            <w:pPr>
              <w:jc w:val="both"/>
              <w:rPr>
                <w:color w:val="000000" w:themeColor="text1"/>
              </w:rPr>
            </w:pPr>
            <w:r w:rsidRPr="006D2734">
              <w:rPr>
                <w:b/>
                <w:bCs/>
                <w:color w:val="000000" w:themeColor="text1"/>
              </w:rPr>
              <w:t>(3 punkti)</w:t>
            </w:r>
            <w:r w:rsidRPr="006D2734">
              <w:rPr>
                <w:color w:val="000000" w:themeColor="text1"/>
              </w:rPr>
              <w:t xml:space="preserve"> Projekta sasniedzamo rezultātu efekts ir daļēji ilgtspējīgs un/vai projekts daļēji pārliecina par medija profesionālās kvalitātes uzlabošanu ilgtermiņā.</w:t>
            </w:r>
          </w:p>
          <w:p w14:paraId="15042D6D" w14:textId="77777777" w:rsidR="00BA3E92" w:rsidRPr="006D2734" w:rsidRDefault="00BA3E92" w:rsidP="006D2734">
            <w:pPr>
              <w:jc w:val="both"/>
              <w:rPr>
                <w:color w:val="000000" w:themeColor="text1"/>
              </w:rPr>
            </w:pPr>
            <w:r w:rsidRPr="006D2734">
              <w:rPr>
                <w:b/>
                <w:bCs/>
                <w:color w:val="000000" w:themeColor="text1"/>
              </w:rPr>
              <w:t>(1 punkts)</w:t>
            </w:r>
            <w:r w:rsidRPr="006D2734">
              <w:rPr>
                <w:color w:val="000000" w:themeColor="text1"/>
              </w:rPr>
              <w:t xml:space="preserve"> Projekta pieteikumā </w:t>
            </w:r>
            <w:r w:rsidRPr="006D2734">
              <w:t>informācija par ilgtspējīga efekta sasniegšanu ir grūti uztverama, tikai dažos salīdzinoši nebūtiskos projekta aspektos varētu būt saskatāma formāla saistība ar šādu efektu.</w:t>
            </w:r>
          </w:p>
          <w:p w14:paraId="5C4F7D1F" w14:textId="77777777" w:rsidR="00BA3E92" w:rsidRPr="006D2734" w:rsidRDefault="00BA3E92" w:rsidP="006D2734">
            <w:pPr>
              <w:jc w:val="both"/>
              <w:rPr>
                <w:color w:val="000000"/>
              </w:rPr>
            </w:pPr>
            <w:r w:rsidRPr="006D2734">
              <w:rPr>
                <w:b/>
                <w:color w:val="000000"/>
              </w:rPr>
              <w:t>(0 punkti)</w:t>
            </w:r>
            <w:r w:rsidRPr="006D2734">
              <w:rPr>
                <w:color w:val="000000"/>
              </w:rPr>
              <w:t xml:space="preserve"> Projekta sasniedzamajiem rezultātiem nav ilgtspējīgs efekts, projekts nepārliecina par tā potenciālu uzlabot medija profesionālo kvalitāti ilgtermiņā.</w:t>
            </w:r>
          </w:p>
        </w:tc>
      </w:tr>
      <w:tr w:rsidR="00BA3E92" w:rsidRPr="002D0BE5" w14:paraId="3C2F2AD9" w14:textId="77777777" w:rsidTr="006D2734">
        <w:trPr>
          <w:trHeight w:val="281"/>
        </w:trPr>
        <w:tc>
          <w:tcPr>
            <w:tcW w:w="812" w:type="dxa"/>
          </w:tcPr>
          <w:p w14:paraId="7808E751" w14:textId="726D9F73" w:rsidR="00BA3E92" w:rsidRPr="00FF2E05" w:rsidRDefault="00BA3E92" w:rsidP="006D2734">
            <w:pPr>
              <w:jc w:val="both"/>
              <w:rPr>
                <w:color w:val="000000"/>
              </w:rPr>
            </w:pPr>
            <w:r w:rsidRPr="00FF2E05">
              <w:rPr>
                <w:color w:val="000000"/>
              </w:rPr>
              <w:t>4.</w:t>
            </w:r>
          </w:p>
        </w:tc>
        <w:tc>
          <w:tcPr>
            <w:tcW w:w="1882" w:type="dxa"/>
          </w:tcPr>
          <w:p w14:paraId="089F1753" w14:textId="41B93537" w:rsidR="00BA3E92" w:rsidRPr="00FF2E05" w:rsidRDefault="00BA3E92" w:rsidP="007779D9">
            <w:pPr>
              <w:jc w:val="both"/>
              <w:rPr>
                <w:color w:val="000000"/>
              </w:rPr>
            </w:pPr>
            <w:r w:rsidRPr="00FF2E05">
              <w:rPr>
                <w:color w:val="000000"/>
              </w:rPr>
              <w:t xml:space="preserve">Projekta piemērotība paredzētās mērķauditorijas sasniegšanai, plānotais sasniegtās </w:t>
            </w:r>
            <w:r w:rsidRPr="00FF2E05">
              <w:rPr>
                <w:color w:val="000000"/>
              </w:rPr>
              <w:lastRenderedPageBreak/>
              <w:t xml:space="preserve">mērķauditorijas </w:t>
            </w:r>
            <w:r w:rsidR="007779D9">
              <w:rPr>
                <w:color w:val="000000"/>
              </w:rPr>
              <w:t>apjoms</w:t>
            </w:r>
          </w:p>
        </w:tc>
        <w:tc>
          <w:tcPr>
            <w:tcW w:w="1559" w:type="dxa"/>
          </w:tcPr>
          <w:p w14:paraId="5A4E793B" w14:textId="77777777" w:rsidR="00BA3E92" w:rsidRPr="00FF2E05" w:rsidRDefault="00BA3E92" w:rsidP="006D2734">
            <w:pPr>
              <w:jc w:val="both"/>
              <w:rPr>
                <w:color w:val="000000"/>
              </w:rPr>
            </w:pPr>
            <w:r w:rsidRPr="00FF2E05">
              <w:rPr>
                <w:color w:val="000000"/>
              </w:rPr>
              <w:lastRenderedPageBreak/>
              <w:t>6</w:t>
            </w:r>
          </w:p>
        </w:tc>
        <w:tc>
          <w:tcPr>
            <w:tcW w:w="4819" w:type="dxa"/>
          </w:tcPr>
          <w:p w14:paraId="0F8DC17A" w14:textId="77777777" w:rsidR="00BA3E92" w:rsidRPr="00FF2E05" w:rsidRDefault="00BA3E92" w:rsidP="006D2734">
            <w:pPr>
              <w:jc w:val="both"/>
              <w:rPr>
                <w:color w:val="000000"/>
              </w:rPr>
            </w:pPr>
            <w:r w:rsidRPr="00FF2E05">
              <w:rPr>
                <w:b/>
                <w:color w:val="000000"/>
              </w:rPr>
              <w:t xml:space="preserve">(6 punkti) </w:t>
            </w:r>
            <w:r w:rsidRPr="00FF2E05">
              <w:rPr>
                <w:color w:val="000000"/>
              </w:rPr>
              <w:t xml:space="preserve">Projekts pēc kvantitatīvajiem un kvalitatīvajiem kritērijiem pilnībā atbilst tajā definētajai mērķa auditorijai. Plānotās sasniedzamās auditorijas daļa tiek apliecināta ar pārbaudāmiem informācijas avotiem (piemēram, mediju auditoriju pētījumi, </w:t>
            </w:r>
            <w:r w:rsidRPr="00FF2E05">
              <w:rPr>
                <w:color w:val="000000"/>
              </w:rPr>
              <w:lastRenderedPageBreak/>
              <w:t>abonēšanas un/vai tirdzniecības dati, tirāžu dati vai cita informācija, kas pamato auditoriju.).</w:t>
            </w:r>
          </w:p>
          <w:p w14:paraId="4C440E28" w14:textId="77777777" w:rsidR="00BA3E92" w:rsidRPr="00FF2E05" w:rsidRDefault="00BA3E92" w:rsidP="006D2734">
            <w:pPr>
              <w:jc w:val="both"/>
              <w:rPr>
                <w:color w:val="000000"/>
              </w:rPr>
            </w:pPr>
            <w:r w:rsidRPr="00FF2E05">
              <w:rPr>
                <w:b/>
                <w:color w:val="000000"/>
              </w:rPr>
              <w:t>(4 punkti)</w:t>
            </w:r>
            <w:r w:rsidRPr="00FF2E05">
              <w:rPr>
                <w:color w:val="000000"/>
              </w:rPr>
              <w:t xml:space="preserve"> Projekts pēc kvantitatīvajiem un kvalitatīvajiem kritērijiem daļēji atbilst tajā definētajai mērķauditorijai.</w:t>
            </w:r>
          </w:p>
          <w:p w14:paraId="69DFEE25" w14:textId="77777777" w:rsidR="00BA3E92" w:rsidRPr="00FF2E05" w:rsidRDefault="00BA3E92" w:rsidP="006D2734">
            <w:pPr>
              <w:jc w:val="both"/>
              <w:rPr>
                <w:color w:val="000000"/>
              </w:rPr>
            </w:pPr>
            <w:r w:rsidRPr="00FF2E05">
              <w:rPr>
                <w:color w:val="000000"/>
              </w:rPr>
              <w:t>Plānotās sasniedzamās auditorijas daļa tiek apliecināta ar pārbaudāmiem informācijas avotiem (mediju pētījumi, mērījumi, abonēšanas un/vai tirdzniecības dati, tirāžu dati vai cita informācija, kas pamato auditoriju).</w:t>
            </w:r>
          </w:p>
          <w:p w14:paraId="4EBFE492" w14:textId="77777777" w:rsidR="00BA3E92" w:rsidRPr="00FF2E05" w:rsidRDefault="00BA3E92" w:rsidP="006D2734">
            <w:pPr>
              <w:jc w:val="both"/>
            </w:pPr>
            <w:r w:rsidRPr="00FF2E05">
              <w:rPr>
                <w:b/>
                <w:bCs/>
                <w:color w:val="000000" w:themeColor="text1"/>
              </w:rPr>
              <w:t xml:space="preserve">(2 punkti) </w:t>
            </w:r>
            <w:r w:rsidRPr="00FF2E05">
              <w:rPr>
                <w:color w:val="000000" w:themeColor="text1"/>
              </w:rPr>
              <w:t>Pieteikumā ir sniegta vispārīga informācija par plānotās mērķauditorijas sasniedzamību, kā rezultātā nepietiekami pārliecina par spēju sasniegt plānoto mērķauditoriju.</w:t>
            </w:r>
          </w:p>
          <w:p w14:paraId="32B09ACB" w14:textId="77777777" w:rsidR="00BA3E92" w:rsidRPr="00FF2E05" w:rsidRDefault="00BA3E92" w:rsidP="006D2734">
            <w:pPr>
              <w:jc w:val="both"/>
              <w:rPr>
                <w:b/>
                <w:color w:val="000000"/>
              </w:rPr>
            </w:pPr>
            <w:r w:rsidRPr="00FF2E05">
              <w:rPr>
                <w:b/>
                <w:color w:val="000000"/>
              </w:rPr>
              <w:t xml:space="preserve">(0 punkti) </w:t>
            </w:r>
            <w:r w:rsidRPr="00FF2E05">
              <w:rPr>
                <w:color w:val="000000"/>
              </w:rPr>
              <w:t>Projekts nepārliecina par spēju sasniegt mērķauditoriju.</w:t>
            </w:r>
          </w:p>
        </w:tc>
      </w:tr>
      <w:tr w:rsidR="00BA3E92" w:rsidRPr="00FF2E05" w14:paraId="177B03E5" w14:textId="77777777" w:rsidTr="006D2734">
        <w:tc>
          <w:tcPr>
            <w:tcW w:w="812" w:type="dxa"/>
          </w:tcPr>
          <w:p w14:paraId="7A368EAA" w14:textId="773C0194" w:rsidR="00BA3E92" w:rsidRPr="00FF2E05" w:rsidRDefault="00FF2E05" w:rsidP="006D2734">
            <w:pPr>
              <w:jc w:val="both"/>
              <w:rPr>
                <w:color w:val="000000"/>
              </w:rPr>
            </w:pPr>
            <w:r w:rsidRPr="00FF2E05">
              <w:rPr>
                <w:color w:val="000000"/>
              </w:rPr>
              <w:lastRenderedPageBreak/>
              <w:t>5.</w:t>
            </w:r>
          </w:p>
        </w:tc>
        <w:tc>
          <w:tcPr>
            <w:tcW w:w="1882" w:type="dxa"/>
          </w:tcPr>
          <w:p w14:paraId="1A0C0BD7" w14:textId="2034DC06" w:rsidR="00BA3E92" w:rsidRPr="00FF2E05" w:rsidRDefault="00FF2E05" w:rsidP="006D2734">
            <w:pPr>
              <w:jc w:val="both"/>
              <w:rPr>
                <w:color w:val="000000"/>
              </w:rPr>
            </w:pPr>
            <w:r w:rsidRPr="00FF2E05">
              <w:rPr>
                <w:color w:val="000000"/>
              </w:rPr>
              <w:t>Pretendenta v</w:t>
            </w:r>
            <w:r w:rsidR="00BA3E92" w:rsidRPr="00FF2E05">
              <w:rPr>
                <w:color w:val="000000"/>
              </w:rPr>
              <w:t>eidotā satura izstrādes atbilstība augstvērtīgiem žurnālistikas profesionālajiem kvalitātes, atbildīguma un ētikas standartiem</w:t>
            </w:r>
          </w:p>
        </w:tc>
        <w:tc>
          <w:tcPr>
            <w:tcW w:w="1559" w:type="dxa"/>
          </w:tcPr>
          <w:p w14:paraId="5B2F0927" w14:textId="77777777" w:rsidR="00BA3E92" w:rsidRPr="00FF2E05" w:rsidRDefault="00BA3E92" w:rsidP="006D2734">
            <w:pPr>
              <w:jc w:val="both"/>
              <w:rPr>
                <w:color w:val="000000"/>
              </w:rPr>
            </w:pPr>
            <w:r w:rsidRPr="00FF2E05">
              <w:rPr>
                <w:color w:val="000000"/>
              </w:rPr>
              <w:t>5</w:t>
            </w:r>
          </w:p>
        </w:tc>
        <w:tc>
          <w:tcPr>
            <w:tcW w:w="4819" w:type="dxa"/>
          </w:tcPr>
          <w:p w14:paraId="367EF309" w14:textId="77777777" w:rsidR="00BA3E92" w:rsidRPr="00FF2E05" w:rsidRDefault="00BA3E92" w:rsidP="006D2734">
            <w:pPr>
              <w:jc w:val="both"/>
              <w:rPr>
                <w:color w:val="000000"/>
              </w:rPr>
            </w:pPr>
            <w:r w:rsidRPr="00FF2E05">
              <w:rPr>
                <w:b/>
                <w:color w:val="000000"/>
              </w:rPr>
              <w:t xml:space="preserve">(5 punkti) </w:t>
            </w:r>
            <w:r w:rsidRPr="00FF2E05">
              <w:rPr>
                <w:color w:val="000000"/>
              </w:rPr>
              <w:t xml:space="preserve">Projekta iesniedzēja līdzšinējā darbības pieredze ir atbilstoša projekta īstenošanai. </w:t>
            </w:r>
          </w:p>
          <w:p w14:paraId="3F3E8041" w14:textId="77777777" w:rsidR="00BA3E92" w:rsidRPr="00FF2E05" w:rsidRDefault="00BA3E92" w:rsidP="006D2734">
            <w:pPr>
              <w:jc w:val="both"/>
              <w:rPr>
                <w:color w:val="000000"/>
              </w:rPr>
            </w:pPr>
            <w:r w:rsidRPr="00FF2E05">
              <w:rPr>
                <w:b/>
                <w:color w:val="000000"/>
              </w:rPr>
              <w:t>(2 punkti)</w:t>
            </w:r>
            <w:r w:rsidRPr="00FF2E05">
              <w:rPr>
                <w:color w:val="000000"/>
              </w:rPr>
              <w:t xml:space="preserve"> Projekta iesniedzēja līdzšinējā darbības pieredze ir daļēji atbilstoša projekta īstenošanai. </w:t>
            </w:r>
          </w:p>
          <w:p w14:paraId="5BCB0B3D" w14:textId="77777777" w:rsidR="00BA3E92" w:rsidRPr="00FF2E05" w:rsidRDefault="00BA3E92" w:rsidP="006D2734">
            <w:pPr>
              <w:jc w:val="both"/>
              <w:rPr>
                <w:color w:val="000000"/>
              </w:rPr>
            </w:pPr>
            <w:r w:rsidRPr="00FF2E05">
              <w:rPr>
                <w:b/>
                <w:color w:val="000000"/>
              </w:rPr>
              <w:t xml:space="preserve">(0 punkti) </w:t>
            </w:r>
            <w:r w:rsidRPr="00FF2E05">
              <w:rPr>
                <w:color w:val="000000"/>
              </w:rPr>
              <w:t>Projekta iesniedzējam nav atbilstošas pieredzes vai līdzšinējā darbība un iesniegtais projekts dod pamatu šaubām par spēju nodrošināt veidotā satura izstrādes atbilstību augstvērtīgiem žurnālistikas profesionālajiem kvalitātes, atbildīguma un ētikas standartiem.</w:t>
            </w:r>
          </w:p>
        </w:tc>
      </w:tr>
      <w:tr w:rsidR="00BA3E92" w:rsidRPr="00FF2E05" w14:paraId="1ED89D8B" w14:textId="77777777" w:rsidTr="006D2734">
        <w:tc>
          <w:tcPr>
            <w:tcW w:w="812" w:type="dxa"/>
          </w:tcPr>
          <w:p w14:paraId="66C43965" w14:textId="5D67366C" w:rsidR="00BA3E92" w:rsidRPr="00FF2E05" w:rsidRDefault="00BA3E92" w:rsidP="006D2734">
            <w:pPr>
              <w:jc w:val="both"/>
              <w:rPr>
                <w:color w:val="000000"/>
              </w:rPr>
            </w:pPr>
            <w:r w:rsidRPr="00FF2E05">
              <w:rPr>
                <w:color w:val="000000"/>
              </w:rPr>
              <w:t>6.</w:t>
            </w:r>
          </w:p>
        </w:tc>
        <w:tc>
          <w:tcPr>
            <w:tcW w:w="1882" w:type="dxa"/>
          </w:tcPr>
          <w:p w14:paraId="10DACB75" w14:textId="77777777" w:rsidR="00BA3E92" w:rsidRPr="00FF2E05" w:rsidRDefault="00BA3E92" w:rsidP="006D2734">
            <w:pPr>
              <w:jc w:val="both"/>
              <w:rPr>
                <w:color w:val="000000"/>
              </w:rPr>
            </w:pPr>
            <w:r w:rsidRPr="00FF2E05">
              <w:rPr>
                <w:color w:val="000000"/>
              </w:rPr>
              <w:t>Projekta budžeta pamatotība</w:t>
            </w:r>
          </w:p>
        </w:tc>
        <w:tc>
          <w:tcPr>
            <w:tcW w:w="1559" w:type="dxa"/>
          </w:tcPr>
          <w:p w14:paraId="34BC1355" w14:textId="77777777" w:rsidR="00BA3E92" w:rsidRPr="00FF2E05" w:rsidRDefault="00BA3E92" w:rsidP="006D2734">
            <w:pPr>
              <w:jc w:val="both"/>
              <w:rPr>
                <w:color w:val="000000"/>
              </w:rPr>
            </w:pPr>
            <w:r w:rsidRPr="00FF2E05">
              <w:rPr>
                <w:color w:val="000000"/>
              </w:rPr>
              <w:t>2</w:t>
            </w:r>
          </w:p>
        </w:tc>
        <w:tc>
          <w:tcPr>
            <w:tcW w:w="4819" w:type="dxa"/>
          </w:tcPr>
          <w:p w14:paraId="2E3E76D3" w14:textId="77777777" w:rsidR="00BA3E92" w:rsidRPr="00FF2E05" w:rsidRDefault="00BA3E92" w:rsidP="006D2734">
            <w:pPr>
              <w:jc w:val="both"/>
              <w:rPr>
                <w:color w:val="000000"/>
              </w:rPr>
            </w:pPr>
            <w:r w:rsidRPr="00FF2E05">
              <w:rPr>
                <w:b/>
                <w:bCs/>
                <w:color w:val="000000" w:themeColor="text1"/>
              </w:rPr>
              <w:t>(2 punkti)</w:t>
            </w:r>
            <w:r w:rsidRPr="00FF2E05">
              <w:rPr>
                <w:color w:val="000000" w:themeColor="text1"/>
              </w:rPr>
              <w:t xml:space="preserve"> Projekta budžets ir pamatots un saprotams.</w:t>
            </w:r>
          </w:p>
          <w:p w14:paraId="2D61596A" w14:textId="77777777" w:rsidR="00BA3E92" w:rsidRPr="00FF2E05" w:rsidRDefault="00BA3E92" w:rsidP="006D2734">
            <w:pPr>
              <w:jc w:val="both"/>
              <w:rPr>
                <w:color w:val="000000"/>
              </w:rPr>
            </w:pPr>
            <w:r w:rsidRPr="00FF2E05">
              <w:rPr>
                <w:b/>
                <w:color w:val="000000"/>
              </w:rPr>
              <w:t>(1 punkts)</w:t>
            </w:r>
            <w:r w:rsidRPr="00FF2E05">
              <w:rPr>
                <w:color w:val="000000"/>
              </w:rPr>
              <w:t xml:space="preserve"> </w:t>
            </w:r>
            <w:r w:rsidRPr="00FF2E05">
              <w:rPr>
                <w:color w:val="000000" w:themeColor="text1"/>
              </w:rPr>
              <w:t xml:space="preserve">Projekta budžets </w:t>
            </w:r>
            <w:r w:rsidRPr="00FF2E05">
              <w:rPr>
                <w:color w:val="000000"/>
              </w:rPr>
              <w:t>ir daļēji pamatots un/vai saprotams.</w:t>
            </w:r>
          </w:p>
          <w:p w14:paraId="0AB00C68" w14:textId="77777777" w:rsidR="00BA3E92" w:rsidRPr="00FF2E05" w:rsidRDefault="00BA3E92" w:rsidP="006D2734">
            <w:pPr>
              <w:jc w:val="both"/>
              <w:rPr>
                <w:b/>
                <w:color w:val="000000"/>
              </w:rPr>
            </w:pPr>
            <w:r w:rsidRPr="00FF2E05">
              <w:rPr>
                <w:b/>
                <w:color w:val="000000"/>
              </w:rPr>
              <w:t>(0 punkti)</w:t>
            </w:r>
            <w:r w:rsidRPr="00FF2E05">
              <w:rPr>
                <w:color w:val="000000"/>
              </w:rPr>
              <w:t xml:space="preserve"> </w:t>
            </w:r>
            <w:r w:rsidRPr="00FF2E05">
              <w:rPr>
                <w:color w:val="000000" w:themeColor="text1"/>
              </w:rPr>
              <w:t xml:space="preserve">Projekta budžets </w:t>
            </w:r>
            <w:r w:rsidRPr="00FF2E05">
              <w:rPr>
                <w:color w:val="000000"/>
              </w:rPr>
              <w:t>nav saprotams, tajā ir pilnībā nepamatotas pozīcijas.</w:t>
            </w:r>
          </w:p>
        </w:tc>
      </w:tr>
      <w:tr w:rsidR="00BA3E92" w:rsidRPr="00FF2E05" w14:paraId="55187391" w14:textId="77777777" w:rsidTr="006D2734">
        <w:tc>
          <w:tcPr>
            <w:tcW w:w="812" w:type="dxa"/>
          </w:tcPr>
          <w:p w14:paraId="772093F7" w14:textId="2367D1E0" w:rsidR="00BA3E92" w:rsidRPr="00FF2E05" w:rsidRDefault="00BA3E92" w:rsidP="006D2734">
            <w:pPr>
              <w:jc w:val="both"/>
              <w:rPr>
                <w:color w:val="000000"/>
              </w:rPr>
            </w:pPr>
            <w:r w:rsidRPr="00FF2E05">
              <w:rPr>
                <w:color w:val="000000"/>
              </w:rPr>
              <w:t>7.</w:t>
            </w:r>
          </w:p>
        </w:tc>
        <w:tc>
          <w:tcPr>
            <w:tcW w:w="1882" w:type="dxa"/>
          </w:tcPr>
          <w:p w14:paraId="37D96CF5" w14:textId="77777777" w:rsidR="00BA3E92" w:rsidRPr="00FF2E05" w:rsidRDefault="00BA3E92" w:rsidP="006D2734">
            <w:pPr>
              <w:jc w:val="both"/>
              <w:rPr>
                <w:color w:val="000000"/>
              </w:rPr>
            </w:pPr>
            <w:r w:rsidRPr="00FF2E05">
              <w:rPr>
                <w:color w:val="000000" w:themeColor="text1"/>
              </w:rPr>
              <w:t>Izdevumu atbilstība</w:t>
            </w:r>
          </w:p>
        </w:tc>
        <w:tc>
          <w:tcPr>
            <w:tcW w:w="1559" w:type="dxa"/>
          </w:tcPr>
          <w:p w14:paraId="2B35C128" w14:textId="77777777" w:rsidR="00BA3E92" w:rsidRPr="00FF2E05" w:rsidRDefault="00BA3E92" w:rsidP="006D2734">
            <w:pPr>
              <w:jc w:val="both"/>
              <w:rPr>
                <w:color w:val="000000"/>
              </w:rPr>
            </w:pPr>
            <w:r w:rsidRPr="00FF2E05">
              <w:rPr>
                <w:bCs/>
                <w:color w:val="000000"/>
              </w:rPr>
              <w:t>6</w:t>
            </w:r>
          </w:p>
        </w:tc>
        <w:tc>
          <w:tcPr>
            <w:tcW w:w="4819" w:type="dxa"/>
          </w:tcPr>
          <w:p w14:paraId="483FE051" w14:textId="77777777" w:rsidR="00BA3E92" w:rsidRPr="00FF2E05" w:rsidRDefault="00BA3E92" w:rsidP="006D2734">
            <w:pPr>
              <w:jc w:val="both"/>
              <w:rPr>
                <w:color w:val="000000"/>
              </w:rPr>
            </w:pPr>
            <w:r w:rsidRPr="00FF2E05">
              <w:rPr>
                <w:b/>
                <w:color w:val="000000"/>
              </w:rPr>
              <w:t xml:space="preserve">(6 punkti) </w:t>
            </w:r>
            <w:r w:rsidRPr="00FF2E05">
              <w:rPr>
                <w:color w:val="000000" w:themeColor="text1"/>
              </w:rPr>
              <w:t xml:space="preserve">Projekta budžetā </w:t>
            </w:r>
            <w:r w:rsidRPr="00FF2E05">
              <w:rPr>
                <w:bCs/>
                <w:color w:val="000000"/>
              </w:rPr>
              <w:t>norādīto izdevumu apmērs nerada šaubas par atbilstību plānoto projekta aktivitāšu apjomam, tirgus cenām vai izmaksu lietderības apsvērumiem.</w:t>
            </w:r>
          </w:p>
          <w:p w14:paraId="558D5386" w14:textId="77777777" w:rsidR="00BA3E92" w:rsidRPr="00FF2E05" w:rsidRDefault="00BA3E92" w:rsidP="006D2734">
            <w:pPr>
              <w:jc w:val="both"/>
              <w:rPr>
                <w:bCs/>
                <w:color w:val="000000"/>
              </w:rPr>
            </w:pPr>
            <w:r w:rsidRPr="00FF2E05">
              <w:rPr>
                <w:b/>
                <w:color w:val="000000"/>
              </w:rPr>
              <w:t>(4 punkti)</w:t>
            </w:r>
            <w:r w:rsidRPr="00FF2E05">
              <w:rPr>
                <w:color w:val="000000"/>
              </w:rPr>
              <w:t xml:space="preserve"> </w:t>
            </w:r>
            <w:r w:rsidRPr="00FF2E05">
              <w:rPr>
                <w:color w:val="000000" w:themeColor="text1"/>
              </w:rPr>
              <w:t xml:space="preserve">Projekta budžetā </w:t>
            </w:r>
            <w:r w:rsidRPr="00FF2E05">
              <w:rPr>
                <w:bCs/>
                <w:color w:val="000000"/>
              </w:rPr>
              <w:t>norādīto izdevumu apmērs atbilst plānoto projekta aktivitāšu apjomam, tirgus cenām un izmaksu lietderības apsvērumiem, tomēr izdevumu aprēķinos saskatāmi nelieli trūkumi, kuri gan neatstāj būtisku ietekmi uz projekta pieteikuma kvalitāti.</w:t>
            </w:r>
          </w:p>
          <w:p w14:paraId="29CA1C30" w14:textId="77777777" w:rsidR="00BA3E92" w:rsidRPr="00FF2E05" w:rsidRDefault="00BA3E92" w:rsidP="006D2734">
            <w:pPr>
              <w:jc w:val="both"/>
              <w:rPr>
                <w:color w:val="000000"/>
              </w:rPr>
            </w:pPr>
            <w:r w:rsidRPr="00FF2E05">
              <w:rPr>
                <w:b/>
                <w:color w:val="000000"/>
              </w:rPr>
              <w:t xml:space="preserve">(2 punkti) </w:t>
            </w:r>
            <w:r w:rsidRPr="00FF2E05">
              <w:rPr>
                <w:color w:val="000000" w:themeColor="text1"/>
              </w:rPr>
              <w:t xml:space="preserve">Projekta budžetā </w:t>
            </w:r>
            <w:r w:rsidRPr="00FF2E05">
              <w:rPr>
                <w:color w:val="000000"/>
              </w:rPr>
              <w:t>norādīto izdevumu apmērs būtiski atšķiras no plānoto projekta aktivitāšu apjoma, tirgus cenām un izmaksu lietderības apsvērumiem un izdevumu aprēķinos saskatāmi trūkumi, kas ietekmē projekta pieteikuma kvalitāti.</w:t>
            </w:r>
          </w:p>
          <w:p w14:paraId="49A8357A" w14:textId="77777777" w:rsidR="00BA3E92" w:rsidRPr="00FF2E05" w:rsidRDefault="00BA3E92" w:rsidP="006D2734">
            <w:pPr>
              <w:jc w:val="both"/>
              <w:rPr>
                <w:b/>
                <w:bCs/>
                <w:color w:val="000000" w:themeColor="text1"/>
              </w:rPr>
            </w:pPr>
            <w:r w:rsidRPr="00FF2E05">
              <w:rPr>
                <w:b/>
                <w:color w:val="000000"/>
              </w:rPr>
              <w:lastRenderedPageBreak/>
              <w:t xml:space="preserve">(0 punkti) </w:t>
            </w:r>
            <w:r w:rsidRPr="00FF2E05">
              <w:rPr>
                <w:color w:val="000000" w:themeColor="text1"/>
              </w:rPr>
              <w:t xml:space="preserve">Projekta budžetā </w:t>
            </w:r>
            <w:r w:rsidRPr="00FF2E05">
              <w:rPr>
                <w:bCs/>
                <w:color w:val="000000"/>
              </w:rPr>
              <w:t>norādīto izdevumu apmērs rada pamatotas šaubas par atbilstību plānoto projekta aktivitāšu apjomam, tirgus cenām vai lietderības apsvērumiem.</w:t>
            </w:r>
          </w:p>
        </w:tc>
      </w:tr>
      <w:tr w:rsidR="00BA3E92" w:rsidRPr="002D0BE5" w14:paraId="4C1B1A79" w14:textId="77777777" w:rsidTr="000E48C9">
        <w:trPr>
          <w:trHeight w:val="303"/>
        </w:trPr>
        <w:tc>
          <w:tcPr>
            <w:tcW w:w="812" w:type="dxa"/>
          </w:tcPr>
          <w:p w14:paraId="2616713F" w14:textId="77777777" w:rsidR="00BA3E92" w:rsidRPr="002D0BE5" w:rsidRDefault="00BA3E92" w:rsidP="006D2734">
            <w:pPr>
              <w:jc w:val="both"/>
              <w:rPr>
                <w:color w:val="000000"/>
                <w:highlight w:val="yellow"/>
              </w:rPr>
            </w:pPr>
          </w:p>
        </w:tc>
        <w:tc>
          <w:tcPr>
            <w:tcW w:w="1882" w:type="dxa"/>
          </w:tcPr>
          <w:p w14:paraId="4603431F" w14:textId="77777777" w:rsidR="00BA3E92" w:rsidRPr="00FF2E05" w:rsidRDefault="00BA3E92" w:rsidP="006D2734">
            <w:pPr>
              <w:jc w:val="both"/>
              <w:rPr>
                <w:color w:val="000000"/>
              </w:rPr>
            </w:pPr>
            <w:r w:rsidRPr="00FF2E05">
              <w:rPr>
                <w:color w:val="000000"/>
              </w:rPr>
              <w:t>KOPĀ</w:t>
            </w:r>
          </w:p>
        </w:tc>
        <w:tc>
          <w:tcPr>
            <w:tcW w:w="1559" w:type="dxa"/>
          </w:tcPr>
          <w:p w14:paraId="0632CFD0" w14:textId="77777777" w:rsidR="00BA3E92" w:rsidRPr="00FF2E05" w:rsidRDefault="00BA3E92" w:rsidP="006D2734">
            <w:pPr>
              <w:jc w:val="both"/>
              <w:rPr>
                <w:b/>
                <w:color w:val="000000"/>
              </w:rPr>
            </w:pPr>
            <w:r w:rsidRPr="00FF2E05">
              <w:rPr>
                <w:b/>
                <w:color w:val="000000"/>
              </w:rPr>
              <w:t>34</w:t>
            </w:r>
          </w:p>
        </w:tc>
        <w:tc>
          <w:tcPr>
            <w:tcW w:w="4819" w:type="dxa"/>
          </w:tcPr>
          <w:p w14:paraId="665AFFFA" w14:textId="77777777" w:rsidR="00BA3E92" w:rsidRPr="002D0BE5" w:rsidRDefault="00BA3E92" w:rsidP="006D2734">
            <w:pPr>
              <w:jc w:val="both"/>
              <w:rPr>
                <w:b/>
                <w:color w:val="000000"/>
                <w:highlight w:val="yellow"/>
              </w:rPr>
            </w:pPr>
          </w:p>
        </w:tc>
      </w:tr>
    </w:tbl>
    <w:p w14:paraId="66C33C9F" w14:textId="77777777" w:rsidR="003E5DBF" w:rsidRPr="003E5DBF" w:rsidRDefault="003E5DBF" w:rsidP="003E5DBF">
      <w:pPr>
        <w:rPr>
          <w:b/>
          <w:bCs/>
          <w:caps/>
        </w:rPr>
      </w:pPr>
    </w:p>
    <w:p w14:paraId="083DED90" w14:textId="1177CB26" w:rsidR="006B1EDF" w:rsidRDefault="00E873C9" w:rsidP="000355CB">
      <w:pPr>
        <w:pStyle w:val="ListParagraph"/>
        <w:numPr>
          <w:ilvl w:val="0"/>
          <w:numId w:val="2"/>
        </w:numPr>
        <w:ind w:left="851" w:hanging="491"/>
        <w:jc w:val="center"/>
        <w:rPr>
          <w:b/>
          <w:bCs/>
          <w:caps/>
        </w:rPr>
      </w:pPr>
      <w:r w:rsidRPr="00541022">
        <w:rPr>
          <w:b/>
          <w:bCs/>
          <w:caps/>
        </w:rPr>
        <w:t>F</w:t>
      </w:r>
      <w:bookmarkStart w:id="0" w:name="_GoBack"/>
      <w:bookmarkEnd w:id="0"/>
      <w:r w:rsidRPr="00541022">
        <w:rPr>
          <w:b/>
          <w:bCs/>
          <w:caps/>
        </w:rPr>
        <w:t>INANSĒJUMA</w:t>
      </w:r>
      <w:r w:rsidR="006B1EDF" w:rsidRPr="00541022">
        <w:rPr>
          <w:b/>
          <w:bCs/>
          <w:caps/>
        </w:rPr>
        <w:t xml:space="preserve"> izmaksas kārtība un atskaites</w:t>
      </w:r>
    </w:p>
    <w:p w14:paraId="78268D32" w14:textId="77777777" w:rsidR="00F01A4E" w:rsidRPr="007779D9" w:rsidRDefault="00F01A4E" w:rsidP="00F01A4E">
      <w:pPr>
        <w:pStyle w:val="ListParagraph"/>
        <w:ind w:left="1080"/>
        <w:rPr>
          <w:b/>
          <w:bCs/>
          <w:caps/>
        </w:rPr>
      </w:pPr>
    </w:p>
    <w:p w14:paraId="4ACF577F" w14:textId="25E98AD6" w:rsidR="006B1EDF" w:rsidRPr="00541022" w:rsidRDefault="006B1EDF" w:rsidP="00541022">
      <w:pPr>
        <w:pStyle w:val="ListParagraph"/>
        <w:numPr>
          <w:ilvl w:val="0"/>
          <w:numId w:val="27"/>
        </w:numPr>
        <w:jc w:val="both"/>
      </w:pPr>
      <w:r w:rsidRPr="00541022">
        <w:t xml:space="preserve">Saskaņā ar Komisijas lēmumu </w:t>
      </w:r>
      <w:r w:rsidR="00563878" w:rsidRPr="00541022">
        <w:t>p</w:t>
      </w:r>
      <w:r w:rsidR="000E071D" w:rsidRPr="00541022">
        <w:t>ašvaldība</w:t>
      </w:r>
      <w:r w:rsidR="00563878" w:rsidRPr="00541022">
        <w:t>s izpilddirektors</w:t>
      </w:r>
      <w:r w:rsidR="000E071D" w:rsidRPr="00541022">
        <w:t xml:space="preserve"> </w:t>
      </w:r>
      <w:r w:rsidR="00E873C9" w:rsidRPr="00541022">
        <w:t xml:space="preserve">ar </w:t>
      </w:r>
      <w:r w:rsidR="007671BD" w:rsidRPr="00541022">
        <w:t>Pretendentu</w:t>
      </w:r>
      <w:r w:rsidRPr="00541022">
        <w:t xml:space="preserve"> slēdz </w:t>
      </w:r>
      <w:r w:rsidR="00B95D60">
        <w:t xml:space="preserve">līgumu par </w:t>
      </w:r>
      <w:r w:rsidRPr="00541022">
        <w:t xml:space="preserve">finansējuma </w:t>
      </w:r>
      <w:r w:rsidR="00B95D60">
        <w:t>piešķiršanu</w:t>
      </w:r>
      <w:r w:rsidRPr="00541022">
        <w:t xml:space="preserve"> </w:t>
      </w:r>
      <w:r w:rsidR="004B0109">
        <w:t>(5.p</w:t>
      </w:r>
      <w:r w:rsidR="003E5DBF">
        <w:t>i</w:t>
      </w:r>
      <w:r w:rsidR="004B0109">
        <w:t>e</w:t>
      </w:r>
      <w:r w:rsidR="003E5DBF">
        <w:t xml:space="preserve">likums) </w:t>
      </w:r>
      <w:r w:rsidRPr="00541022">
        <w:t>(turpmāk – Līgums).</w:t>
      </w:r>
    </w:p>
    <w:p w14:paraId="71A96048" w14:textId="074F87B2" w:rsidR="00541022" w:rsidRPr="00541022" w:rsidRDefault="00541022" w:rsidP="00BA3E92">
      <w:pPr>
        <w:numPr>
          <w:ilvl w:val="0"/>
          <w:numId w:val="27"/>
        </w:numPr>
        <w:jc w:val="both"/>
      </w:pPr>
      <w:r>
        <w:t>Finansējums tiek izmaksāts</w:t>
      </w:r>
      <w:r w:rsidR="00E873C9" w:rsidRPr="00541022">
        <w:t xml:space="preserve"> </w:t>
      </w:r>
      <w:r>
        <w:t xml:space="preserve"> divās daļās: avans</w:t>
      </w:r>
      <w:r w:rsidR="00BA3E92">
        <w:t>u</w:t>
      </w:r>
      <w:r>
        <w:t xml:space="preserve"> 70 </w:t>
      </w:r>
      <w:r w:rsidR="00BA3E92">
        <w:t xml:space="preserve">% apmērā no piešķirtā </w:t>
      </w:r>
      <w:r w:rsidR="007779D9">
        <w:t>F</w:t>
      </w:r>
      <w:r w:rsidR="00BA3E92">
        <w:t>inansējuma Pašvaldība pārskaita</w:t>
      </w:r>
      <w:r w:rsidR="00E873C9" w:rsidRPr="00541022">
        <w:t xml:space="preserve"> uz </w:t>
      </w:r>
      <w:r w:rsidR="007671BD" w:rsidRPr="00541022">
        <w:t xml:space="preserve">Pretendenta </w:t>
      </w:r>
      <w:r w:rsidR="00E873C9" w:rsidRPr="00541022">
        <w:t xml:space="preserve">norādīto kontu kredītiestādē </w:t>
      </w:r>
      <w:r w:rsidR="006B1EDF" w:rsidRPr="00541022">
        <w:t xml:space="preserve">5 </w:t>
      </w:r>
      <w:r w:rsidR="007779D9">
        <w:t xml:space="preserve">(piecu) </w:t>
      </w:r>
      <w:r w:rsidR="006B1EDF" w:rsidRPr="00541022">
        <w:t>darba dienu laikā pēc Līguma noslēgšanas</w:t>
      </w:r>
      <w:r w:rsidR="00E873C9" w:rsidRPr="00541022">
        <w:t xml:space="preserve"> dienas.</w:t>
      </w:r>
      <w:r w:rsidR="007779D9">
        <w:t xml:space="preserve"> Savukārt Fi</w:t>
      </w:r>
      <w:r w:rsidR="00BA3E92">
        <w:t xml:space="preserve">nansējums 30 % apmērā tiek izmaksāts pēc </w:t>
      </w:r>
      <w:r w:rsidR="00BA3E92" w:rsidRPr="00BA3E92">
        <w:t>finanšu atskait</w:t>
      </w:r>
      <w:r w:rsidR="00BA3E92">
        <w:t>es</w:t>
      </w:r>
      <w:r w:rsidR="00BA3E92" w:rsidRPr="00BA3E92">
        <w:t xml:space="preserve"> par piešķirtā finansējuma izlietojumu</w:t>
      </w:r>
      <w:r w:rsidR="00BA3E92">
        <w:t xml:space="preserve"> iesniegšanas.</w:t>
      </w:r>
    </w:p>
    <w:p w14:paraId="6BB76308" w14:textId="2F5981ED" w:rsidR="006B1EDF" w:rsidRPr="00853BCD" w:rsidRDefault="007671BD" w:rsidP="00541022">
      <w:pPr>
        <w:pStyle w:val="ListParagraph"/>
        <w:numPr>
          <w:ilvl w:val="0"/>
          <w:numId w:val="27"/>
        </w:numPr>
        <w:ind w:left="426" w:hanging="426"/>
        <w:jc w:val="both"/>
      </w:pPr>
      <w:r w:rsidRPr="00BA3E92">
        <w:t>Pretendents</w:t>
      </w:r>
      <w:r w:rsidR="00E873C9" w:rsidRPr="00BA3E92">
        <w:t xml:space="preserve"> </w:t>
      </w:r>
      <w:r w:rsidR="00C61434" w:rsidRPr="00BA3E92">
        <w:t>viena mēneša laikā pēc L</w:t>
      </w:r>
      <w:r w:rsidR="006B1EDF" w:rsidRPr="00BA3E92">
        <w:t>īgum</w:t>
      </w:r>
      <w:r w:rsidR="00AD7BC9" w:rsidRPr="00BA3E92">
        <w:t>ā</w:t>
      </w:r>
      <w:r w:rsidR="006B1EDF" w:rsidRPr="00BA3E92">
        <w:t xml:space="preserve"> </w:t>
      </w:r>
      <w:r w:rsidR="001B3D4E" w:rsidRPr="00BA3E92">
        <w:t xml:space="preserve">noteiktā </w:t>
      </w:r>
      <w:r w:rsidR="00541022" w:rsidRPr="00BA3E92">
        <w:t>projekta</w:t>
      </w:r>
      <w:r w:rsidR="001B3D4E" w:rsidRPr="00BA3E92">
        <w:t xml:space="preserve"> īstenošanas</w:t>
      </w:r>
      <w:r w:rsidR="00AD7BC9" w:rsidRPr="00BA3E92">
        <w:t>, bet ne vēlāk kā viena mēneša laikā pēc Līguma darbības beigām</w:t>
      </w:r>
      <w:r w:rsidR="00BA3E92">
        <w:t>,</w:t>
      </w:r>
      <w:r w:rsidR="001B3D4E" w:rsidRPr="00BA3E92">
        <w:t xml:space="preserve"> </w:t>
      </w:r>
      <w:r w:rsidR="006B1EDF" w:rsidRPr="00BA3E92">
        <w:t xml:space="preserve">iesniedz </w:t>
      </w:r>
      <w:r w:rsidR="001B3D4E" w:rsidRPr="00BA3E92">
        <w:t>Pašvaldībā</w:t>
      </w:r>
      <w:r w:rsidR="006B1EDF" w:rsidRPr="00853BCD">
        <w:t xml:space="preserve">: </w:t>
      </w:r>
    </w:p>
    <w:p w14:paraId="755F1666" w14:textId="6C8921E2" w:rsidR="006B1EDF" w:rsidRPr="00853BCD" w:rsidRDefault="006B1EDF" w:rsidP="00541022">
      <w:pPr>
        <w:numPr>
          <w:ilvl w:val="1"/>
          <w:numId w:val="27"/>
        </w:numPr>
        <w:ind w:left="993" w:hanging="567"/>
        <w:jc w:val="both"/>
      </w:pPr>
      <w:r w:rsidRPr="00853BCD">
        <w:t xml:space="preserve">saturisko atskaiti </w:t>
      </w:r>
      <w:r w:rsidR="00300D7B">
        <w:t xml:space="preserve">(3.pielikums) </w:t>
      </w:r>
      <w:r w:rsidRPr="00853BCD">
        <w:t xml:space="preserve">- aprakstu un novērtējumu, vai ir sasniegts mērķis, kura realizācijai </w:t>
      </w:r>
      <w:r w:rsidR="00E873C9">
        <w:t>finansējums piešķirts</w:t>
      </w:r>
      <w:r w:rsidR="00300D7B">
        <w:t>;</w:t>
      </w:r>
    </w:p>
    <w:p w14:paraId="5BEB47DB" w14:textId="12EE758F" w:rsidR="006B1EDF" w:rsidRPr="00853BCD" w:rsidRDefault="00300D7B" w:rsidP="00541022">
      <w:pPr>
        <w:numPr>
          <w:ilvl w:val="1"/>
          <w:numId w:val="27"/>
        </w:numPr>
        <w:ind w:left="993" w:hanging="567"/>
        <w:jc w:val="both"/>
      </w:pPr>
      <w:r>
        <w:t>projekta</w:t>
      </w:r>
      <w:r w:rsidR="006B1EDF" w:rsidRPr="00853BCD">
        <w:t xml:space="preserve"> </w:t>
      </w:r>
      <w:r w:rsidR="002E0B9C">
        <w:t xml:space="preserve">finanšu </w:t>
      </w:r>
      <w:r w:rsidR="006B1EDF" w:rsidRPr="00853BCD">
        <w:t xml:space="preserve">atskaiti par piešķirtā </w:t>
      </w:r>
      <w:r w:rsidR="00541022">
        <w:t>f</w:t>
      </w:r>
      <w:r w:rsidR="006B1EDF" w:rsidRPr="00853BCD">
        <w:t>inansējuma izlietojumu</w:t>
      </w:r>
      <w:r w:rsidR="00541022">
        <w:t xml:space="preserve"> (</w:t>
      </w:r>
      <w:r w:rsidR="00BA3E92">
        <w:t>4</w:t>
      </w:r>
      <w:r>
        <w:t>.pielikums).</w:t>
      </w:r>
      <w:r w:rsidR="00FD3622">
        <w:t xml:space="preserve"> </w:t>
      </w:r>
      <w:r w:rsidR="002630FC" w:rsidRPr="002630FC">
        <w:t xml:space="preserve"> </w:t>
      </w:r>
    </w:p>
    <w:p w14:paraId="6C307FB0" w14:textId="6A882C9E" w:rsidR="006B1EDF" w:rsidRDefault="006B1EDF" w:rsidP="00541022">
      <w:pPr>
        <w:numPr>
          <w:ilvl w:val="0"/>
          <w:numId w:val="27"/>
        </w:numPr>
        <w:ind w:left="426" w:hanging="426"/>
        <w:jc w:val="both"/>
      </w:pPr>
      <w:r w:rsidRPr="00853BCD">
        <w:t>Komisijai ir tiesības pārbaudīt piešķirt</w:t>
      </w:r>
      <w:r w:rsidR="00C61434">
        <w:t xml:space="preserve">ā </w:t>
      </w:r>
      <w:r w:rsidR="00BA3E92">
        <w:t>F</w:t>
      </w:r>
      <w:r w:rsidR="00C61434">
        <w:t>inansējuma</w:t>
      </w:r>
      <w:r w:rsidRPr="00853BCD">
        <w:t xml:space="preserve"> izlietošanu jebkurā </w:t>
      </w:r>
      <w:r w:rsidR="007779D9">
        <w:t xml:space="preserve">brīdī </w:t>
      </w:r>
      <w:r w:rsidRPr="00853BCD">
        <w:t xml:space="preserve">Līguma darbības </w:t>
      </w:r>
      <w:r w:rsidR="00C61434">
        <w:t>laikā</w:t>
      </w:r>
      <w:r w:rsidRPr="00853BCD">
        <w:t>, k</w:t>
      </w:r>
      <w:r w:rsidR="00C61434">
        <w:t xml:space="preserve">ā arī prasīt atmaksāt piešķirto </w:t>
      </w:r>
      <w:r w:rsidR="00BA3E92">
        <w:t>F</w:t>
      </w:r>
      <w:r w:rsidR="00C61434">
        <w:t>inansējumu</w:t>
      </w:r>
      <w:r w:rsidRPr="00853BCD">
        <w:t xml:space="preserve"> pilnībā vai daļēji, ja t</w:t>
      </w:r>
      <w:r w:rsidR="00452FA1">
        <w:t>as</w:t>
      </w:r>
      <w:r w:rsidRPr="00853BCD">
        <w:t xml:space="preserve"> nav izlietot</w:t>
      </w:r>
      <w:r w:rsidR="00452FA1">
        <w:t>s</w:t>
      </w:r>
      <w:r w:rsidRPr="00853BCD">
        <w:t xml:space="preserve"> atbilstoši </w:t>
      </w:r>
      <w:r w:rsidR="00952A95">
        <w:t>Projekta pieteikumam</w:t>
      </w:r>
      <w:r w:rsidR="002704F7">
        <w:t xml:space="preserve"> pilnībā vai kādā daļā</w:t>
      </w:r>
      <w:r w:rsidRPr="00853BCD">
        <w:t xml:space="preserve">, </w:t>
      </w:r>
      <w:r w:rsidR="00C61434">
        <w:t xml:space="preserve">vai </w:t>
      </w:r>
      <w:r w:rsidR="00BA3E92">
        <w:t>F</w:t>
      </w:r>
      <w:r w:rsidR="00952A95">
        <w:t>inansējums nav izlietots</w:t>
      </w:r>
      <w:r w:rsidR="00C61434">
        <w:t xml:space="preserve"> L</w:t>
      </w:r>
      <w:r w:rsidRPr="00853BCD">
        <w:t>īgumā noteiktajā termiņā.</w:t>
      </w:r>
    </w:p>
    <w:p w14:paraId="1B9F68B1" w14:textId="77777777" w:rsidR="004C06B2" w:rsidRDefault="004C06B2" w:rsidP="004C06B2">
      <w:pPr>
        <w:ind w:left="360"/>
        <w:jc w:val="both"/>
      </w:pPr>
    </w:p>
    <w:p w14:paraId="4D801B8D" w14:textId="77777777" w:rsidR="004C06B2" w:rsidRPr="00853BCD" w:rsidRDefault="004C06B2" w:rsidP="000355CB">
      <w:pPr>
        <w:pStyle w:val="ListParagraph"/>
        <w:numPr>
          <w:ilvl w:val="0"/>
          <w:numId w:val="2"/>
        </w:numPr>
        <w:ind w:left="851" w:hanging="491"/>
        <w:jc w:val="center"/>
        <w:rPr>
          <w:b/>
          <w:bCs/>
          <w:caps/>
        </w:rPr>
      </w:pPr>
      <w:r w:rsidRPr="003E5DBF">
        <w:rPr>
          <w:b/>
          <w:bCs/>
          <w:caps/>
        </w:rPr>
        <w:t>De minimis</w:t>
      </w:r>
      <w:r>
        <w:rPr>
          <w:b/>
          <w:bCs/>
          <w:caps/>
        </w:rPr>
        <w:t xml:space="preserve"> atbalst</w:t>
      </w:r>
      <w:r w:rsidR="00AF5BFC">
        <w:rPr>
          <w:b/>
          <w:bCs/>
          <w:caps/>
        </w:rPr>
        <w:t>a</w:t>
      </w:r>
      <w:r>
        <w:rPr>
          <w:b/>
          <w:bCs/>
          <w:caps/>
        </w:rPr>
        <w:t xml:space="preserve"> nosacījumi </w:t>
      </w:r>
    </w:p>
    <w:p w14:paraId="46ADD47A" w14:textId="77777777" w:rsidR="004C06B2" w:rsidRPr="00D05B0B" w:rsidRDefault="004C06B2" w:rsidP="00D05B0B">
      <w:pPr>
        <w:ind w:left="709" w:hanging="283"/>
        <w:jc w:val="both"/>
      </w:pPr>
    </w:p>
    <w:p w14:paraId="15BD2783" w14:textId="2494DD38" w:rsidR="00D05B0B" w:rsidRPr="00D6228B" w:rsidRDefault="00C65D90" w:rsidP="00541022">
      <w:pPr>
        <w:pStyle w:val="ListParagraph"/>
        <w:numPr>
          <w:ilvl w:val="0"/>
          <w:numId w:val="27"/>
        </w:numPr>
        <w:shd w:val="clear" w:color="auto" w:fill="FFFFFF"/>
        <w:spacing w:line="293" w:lineRule="atLeast"/>
        <w:ind w:left="426" w:hanging="426"/>
        <w:jc w:val="both"/>
      </w:pPr>
      <w:r w:rsidRPr="00D05B0B">
        <w:t xml:space="preserve">Komisija kā </w:t>
      </w:r>
      <w:r w:rsidR="007779D9">
        <w:t>F</w:t>
      </w:r>
      <w:r w:rsidRPr="00D05B0B">
        <w:t xml:space="preserve">inansējuma sniedzējs pirms </w:t>
      </w:r>
      <w:r w:rsidR="007779D9">
        <w:t>F</w:t>
      </w:r>
      <w:r w:rsidRPr="00D05B0B">
        <w:t xml:space="preserve">inansējuma piešķiršanas veic </w:t>
      </w:r>
      <w:proofErr w:type="spellStart"/>
      <w:r w:rsidRPr="00D05B0B">
        <w:t>izvērtējumu</w:t>
      </w:r>
      <w:proofErr w:type="spellEnd"/>
      <w:r w:rsidRPr="00D05B0B">
        <w:t xml:space="preserve">, vai atbalsts tiek sniegts saimnieciskai darbībai. Gadījumā, ja atbalsts tiek sniegts saimnieciskai darbībai, </w:t>
      </w:r>
      <w:r w:rsidRPr="00D6228B">
        <w:t xml:space="preserve">Pašvaldība izvērtē vai izpildās visas četras </w:t>
      </w:r>
      <w:r w:rsidR="00952A95" w:rsidRPr="00D6228B">
        <w:t>Komercdarbības atbalsta kontroles likuma</w:t>
      </w:r>
      <w:r w:rsidRPr="00D6228B">
        <w:t> </w:t>
      </w:r>
      <w:hyperlink r:id="rId8" w:anchor="p5" w:history="1">
        <w:r w:rsidRPr="00D6228B">
          <w:t>5. pantā</w:t>
        </w:r>
      </w:hyperlink>
      <w:r w:rsidRPr="00D6228B">
        <w:t> minētās komercdarbības atbalsta pazīmes un atbalsts kvalificējas kā komercdarbības atbalsts.</w:t>
      </w:r>
      <w:r w:rsidR="00D05B0B" w:rsidRPr="00D6228B">
        <w:t xml:space="preserve"> </w:t>
      </w:r>
      <w:bookmarkStart w:id="1" w:name="p48"/>
      <w:bookmarkStart w:id="2" w:name="p-1333106"/>
      <w:bookmarkEnd w:id="1"/>
      <w:bookmarkEnd w:id="2"/>
    </w:p>
    <w:p w14:paraId="1C643DB6" w14:textId="21EC9A12" w:rsidR="00BA5982" w:rsidRDefault="00510339" w:rsidP="00541022">
      <w:pPr>
        <w:pStyle w:val="ListParagraph"/>
        <w:numPr>
          <w:ilvl w:val="0"/>
          <w:numId w:val="27"/>
        </w:numPr>
        <w:shd w:val="clear" w:color="auto" w:fill="FFFFFF"/>
        <w:spacing w:line="293" w:lineRule="atLeast"/>
        <w:ind w:left="426" w:hanging="426"/>
        <w:jc w:val="both"/>
      </w:pPr>
      <w:r>
        <w:t>Tiem pretendentiem,</w:t>
      </w:r>
      <w:r w:rsidR="00952A95" w:rsidRPr="00853BCD">
        <w:t xml:space="preserve"> </w:t>
      </w:r>
      <w:r w:rsidR="00952A95">
        <w:t xml:space="preserve">kas </w:t>
      </w:r>
      <w:r>
        <w:t>f</w:t>
      </w:r>
      <w:r w:rsidR="00C65D90" w:rsidRPr="00D05B0B">
        <w:t xml:space="preserve">inansējumu izmanto saimnieciskās darbības veikšanai un kuriem </w:t>
      </w:r>
      <w:r w:rsidR="007779D9">
        <w:t>Finansējums</w:t>
      </w:r>
      <w:r w:rsidR="00952A95">
        <w:t xml:space="preserve"> kā </w:t>
      </w:r>
      <w:r w:rsidR="00C65D90" w:rsidRPr="00D05B0B">
        <w:t>atbalsts saskaņā ar </w:t>
      </w:r>
      <w:hyperlink r:id="rId9" w:tgtFrame="_blank" w:history="1">
        <w:r w:rsidR="00C65D90" w:rsidRPr="00D05B0B">
          <w:t>Komercdarbības atbalsta kontroles likuma</w:t>
        </w:r>
      </w:hyperlink>
      <w:r w:rsidR="00C65D90" w:rsidRPr="00D05B0B">
        <w:t> </w:t>
      </w:r>
      <w:hyperlink r:id="rId10" w:anchor="p5" w:tgtFrame="_blank" w:history="1">
        <w:r w:rsidR="00952A95">
          <w:t>5.</w:t>
        </w:r>
        <w:r w:rsidR="00C65D90" w:rsidRPr="00D05B0B">
          <w:t>pantā</w:t>
        </w:r>
      </w:hyperlink>
      <w:r w:rsidR="00C65D90" w:rsidRPr="00D05B0B">
        <w:t> minētajām komercdarbības atbalsta pazīmēm kvalificējams kā komercdarbības atbalsts</w:t>
      </w:r>
      <w:r w:rsidR="00952A95">
        <w:t>, P</w:t>
      </w:r>
      <w:r w:rsidR="00C65D90" w:rsidRPr="00D05B0B">
        <w:t xml:space="preserve">ašvaldības </w:t>
      </w:r>
      <w:r w:rsidR="007779D9">
        <w:t>F</w:t>
      </w:r>
      <w:r w:rsidR="00C65D90" w:rsidRPr="00D05B0B">
        <w:t>inansējuma daļa  projekta realizācijai tiek piešķirta saskaņā ar Regulas Nr. </w:t>
      </w:r>
      <w:hyperlink r:id="rId11" w:tgtFrame="_blank" w:history="1">
        <w:r w:rsidR="00C65D90" w:rsidRPr="00D05B0B">
          <w:t>2023/2831</w:t>
        </w:r>
      </w:hyperlink>
      <w:r w:rsidR="00C65D90" w:rsidRPr="00D05B0B">
        <w:t> </w:t>
      </w:r>
      <w:r w:rsidR="001148BA" w:rsidRPr="001148BA">
        <w:rPr>
          <w:shd w:val="clear" w:color="auto" w:fill="FFFFFF"/>
        </w:rPr>
        <w:t>par Līguma par Eiropas Savienības darbību 107. un 108. panta piemērošanu </w:t>
      </w:r>
      <w:proofErr w:type="spellStart"/>
      <w:r w:rsidR="001148BA" w:rsidRPr="003E5DBF">
        <w:rPr>
          <w:rStyle w:val="Emphasis"/>
          <w:shd w:val="clear" w:color="auto" w:fill="FFFFFF"/>
        </w:rPr>
        <w:t>de</w:t>
      </w:r>
      <w:proofErr w:type="spellEnd"/>
      <w:r w:rsidR="001148BA" w:rsidRPr="003E5DBF">
        <w:rPr>
          <w:rStyle w:val="Emphasis"/>
          <w:shd w:val="clear" w:color="auto" w:fill="FFFFFF"/>
        </w:rPr>
        <w:t xml:space="preserve"> </w:t>
      </w:r>
      <w:proofErr w:type="spellStart"/>
      <w:r w:rsidR="001148BA" w:rsidRPr="003E5DBF">
        <w:rPr>
          <w:rStyle w:val="Emphasis"/>
          <w:shd w:val="clear" w:color="auto" w:fill="FFFFFF"/>
        </w:rPr>
        <w:t>minimis</w:t>
      </w:r>
      <w:proofErr w:type="spellEnd"/>
      <w:r w:rsidR="001148BA" w:rsidRPr="001148BA">
        <w:rPr>
          <w:shd w:val="clear" w:color="auto" w:fill="FFFFFF"/>
        </w:rPr>
        <w:t> atbalstam (turpmāk – Komisijas regula Nr. </w:t>
      </w:r>
      <w:hyperlink r:id="rId12" w:tgtFrame="_blank" w:history="1">
        <w:r w:rsidR="001148BA" w:rsidRPr="001148BA">
          <w:rPr>
            <w:rStyle w:val="Hyperlink"/>
            <w:color w:val="auto"/>
            <w:u w:val="none"/>
            <w:shd w:val="clear" w:color="auto" w:fill="FFFFFF"/>
          </w:rPr>
          <w:t>2023/2831</w:t>
        </w:r>
      </w:hyperlink>
      <w:r w:rsidR="001148BA" w:rsidRPr="001148BA">
        <w:rPr>
          <w:shd w:val="clear" w:color="auto" w:fill="FFFFFF"/>
        </w:rPr>
        <w:t>​​​​​​)</w:t>
      </w:r>
      <w:r w:rsidR="001148BA" w:rsidRPr="001148BA">
        <w:t xml:space="preserve"> </w:t>
      </w:r>
      <w:r w:rsidR="00C65D90" w:rsidRPr="00D05B0B">
        <w:t>nosacījumiem un</w:t>
      </w:r>
      <w:r w:rsidR="004E7B10">
        <w:t>,</w:t>
      </w:r>
      <w:r w:rsidR="00C65D90" w:rsidRPr="00D05B0B">
        <w:t xml:space="preserve"> ievērojot </w:t>
      </w:r>
      <w:r w:rsidR="001148BA">
        <w:t xml:space="preserve">Ministru kabineta 2018.gada 21.novembra noteikumiem </w:t>
      </w:r>
      <w:r w:rsidR="00C65D90" w:rsidRPr="00D05B0B">
        <w:t xml:space="preserve">Nr. 715 </w:t>
      </w:r>
      <w:r w:rsidR="001148BA">
        <w:t>“</w:t>
      </w:r>
      <w:proofErr w:type="spellStart"/>
      <w:r w:rsidR="006F2B2C" w:rsidRPr="003E5DBF">
        <w:rPr>
          <w:i/>
          <w:iCs/>
        </w:rPr>
        <w:t>D</w:t>
      </w:r>
      <w:r w:rsidR="00C65D90" w:rsidRPr="003E5DBF">
        <w:rPr>
          <w:i/>
          <w:iCs/>
        </w:rPr>
        <w:t>e</w:t>
      </w:r>
      <w:proofErr w:type="spellEnd"/>
      <w:r w:rsidR="00C65D90" w:rsidRPr="003E5DBF">
        <w:rPr>
          <w:i/>
          <w:iCs/>
        </w:rPr>
        <w:t xml:space="preserve"> </w:t>
      </w:r>
      <w:proofErr w:type="spellStart"/>
      <w:r w:rsidR="00C65D90" w:rsidRPr="003E5DBF">
        <w:rPr>
          <w:i/>
          <w:iCs/>
        </w:rPr>
        <w:t>minimis</w:t>
      </w:r>
      <w:proofErr w:type="spellEnd"/>
      <w:r w:rsidR="00C65D90" w:rsidRPr="001148BA">
        <w:t> atbalsta uzskaites un piešķiršanas kārtīb</w:t>
      </w:r>
      <w:r w:rsidR="006F2B2C">
        <w:t>a</w:t>
      </w:r>
      <w:r w:rsidR="001148BA">
        <w:t>”</w:t>
      </w:r>
      <w:r w:rsidR="00C65D90" w:rsidRPr="001148BA">
        <w:t xml:space="preserve"> </w:t>
      </w:r>
      <w:r w:rsidR="001148BA" w:rsidRPr="001148BA">
        <w:t>(</w:t>
      </w:r>
      <w:r>
        <w:t>turpmāk – MK noteikumi Nr. 715)</w:t>
      </w:r>
      <w:r w:rsidR="001148BA" w:rsidRPr="001148BA">
        <w:t xml:space="preserve"> </w:t>
      </w:r>
      <w:r w:rsidR="00C65D90" w:rsidRPr="001148BA">
        <w:t>noteikto kārtību. Pašvaldība veic pretendenta izvērtēšanu atbilstoši Regulas Nr. </w:t>
      </w:r>
      <w:hyperlink r:id="rId13" w:tgtFrame="_blank" w:history="1">
        <w:r w:rsidR="00C65D90" w:rsidRPr="001148BA">
          <w:t>2023/2831</w:t>
        </w:r>
      </w:hyperlink>
      <w:r w:rsidR="00C65D90" w:rsidRPr="001148BA">
        <w:t> nosacījumiem uz atbalsta piešķiršanas brīdi</w:t>
      </w:r>
      <w:r w:rsidR="00594DA7">
        <w:t>.</w:t>
      </w:r>
      <w:r w:rsidR="00C65D90" w:rsidRPr="00D05B0B">
        <w:t xml:space="preserve"> </w:t>
      </w:r>
    </w:p>
    <w:p w14:paraId="14A1823E" w14:textId="2C708F5E" w:rsidR="00C65D90" w:rsidRPr="00D05B0B" w:rsidRDefault="000045FE" w:rsidP="00541022">
      <w:pPr>
        <w:pStyle w:val="ListParagraph"/>
        <w:numPr>
          <w:ilvl w:val="0"/>
          <w:numId w:val="27"/>
        </w:numPr>
        <w:shd w:val="clear" w:color="auto" w:fill="FFFFFF"/>
        <w:spacing w:line="293" w:lineRule="atLeast"/>
        <w:ind w:left="426" w:hanging="426"/>
        <w:jc w:val="both"/>
      </w:pPr>
      <w:proofErr w:type="spellStart"/>
      <w:r w:rsidRPr="003E5DBF">
        <w:rPr>
          <w:i/>
        </w:rPr>
        <w:t>De</w:t>
      </w:r>
      <w:proofErr w:type="spellEnd"/>
      <w:r w:rsidRPr="003E5DBF">
        <w:rPr>
          <w:i/>
        </w:rPr>
        <w:t xml:space="preserve"> </w:t>
      </w:r>
      <w:proofErr w:type="spellStart"/>
      <w:r w:rsidRPr="003E5DBF">
        <w:rPr>
          <w:i/>
        </w:rPr>
        <w:t>minimis</w:t>
      </w:r>
      <w:proofErr w:type="spellEnd"/>
      <w:r>
        <w:t xml:space="preserve"> atbalstu šo n</w:t>
      </w:r>
      <w:r w:rsidR="00BA5982">
        <w:t>oteikumu ietvaros piešķir līdz</w:t>
      </w:r>
      <w:r w:rsidR="00C65D90" w:rsidRPr="00D05B0B">
        <w:t xml:space="preserve"> 2031. gada 30. jūnijam.</w:t>
      </w:r>
    </w:p>
    <w:p w14:paraId="130E3A1A" w14:textId="05BF599C" w:rsidR="00C65D90" w:rsidRPr="00753881" w:rsidRDefault="00C65D90" w:rsidP="00541022">
      <w:pPr>
        <w:pStyle w:val="ListParagraph"/>
        <w:numPr>
          <w:ilvl w:val="0"/>
          <w:numId w:val="27"/>
        </w:numPr>
        <w:shd w:val="clear" w:color="auto" w:fill="FFFFFF"/>
        <w:spacing w:line="293" w:lineRule="atLeast"/>
        <w:ind w:left="426" w:hanging="426"/>
        <w:jc w:val="both"/>
      </w:pPr>
      <w:bookmarkStart w:id="3" w:name="p49"/>
      <w:bookmarkStart w:id="4" w:name="p-1333107"/>
      <w:bookmarkEnd w:id="3"/>
      <w:bookmarkEnd w:id="4"/>
      <w:r w:rsidRPr="00D05B0B">
        <w:t>Visiem pretendentiem, kam atbalsts kvalificējas kā komercdarbības atbalsts un ir piešķirams saskaņā ar Komisijas Regulu Nr. </w:t>
      </w:r>
      <w:hyperlink r:id="rId14" w:tgtFrame="_blank" w:history="1">
        <w:r w:rsidRPr="00D05B0B">
          <w:t>2023/2831</w:t>
        </w:r>
      </w:hyperlink>
      <w:r w:rsidRPr="00D05B0B">
        <w:t xml:space="preserve"> pieteikumam ir jāpievieno </w:t>
      </w:r>
      <w:proofErr w:type="spellStart"/>
      <w:r w:rsidRPr="003E5DBF">
        <w:rPr>
          <w:i/>
        </w:rPr>
        <w:t>De</w:t>
      </w:r>
      <w:proofErr w:type="spellEnd"/>
      <w:r w:rsidRPr="003E5DBF">
        <w:rPr>
          <w:i/>
        </w:rPr>
        <w:t xml:space="preserve"> </w:t>
      </w:r>
      <w:proofErr w:type="spellStart"/>
      <w:r w:rsidRPr="003E5DBF">
        <w:rPr>
          <w:i/>
        </w:rPr>
        <w:t>minimis</w:t>
      </w:r>
      <w:proofErr w:type="spellEnd"/>
      <w:r w:rsidRPr="00753881">
        <w:t xml:space="preserve"> atbalsta uzskaites sistēmā (turpmāk – sistēmā) sagatavota</w:t>
      </w:r>
      <w:r w:rsidR="00823991" w:rsidRPr="00753881">
        <w:t>s</w:t>
      </w:r>
      <w:r w:rsidRPr="00753881">
        <w:t xml:space="preserve"> veidlapa</w:t>
      </w:r>
      <w:r w:rsidR="00823991" w:rsidRPr="00753881">
        <w:t>s izdruka</w:t>
      </w:r>
      <w:r w:rsidR="007779D9">
        <w:t xml:space="preserve"> vai pieteikumā jānorāda s</w:t>
      </w:r>
      <w:r w:rsidRPr="00753881">
        <w:t>istēmā aizpildītās veidlapas identifikācijas numurs.</w:t>
      </w:r>
    </w:p>
    <w:p w14:paraId="03E6E9D9" w14:textId="2D741C69" w:rsidR="006F2B2C" w:rsidRPr="00753881" w:rsidRDefault="00C65D90" w:rsidP="00541022">
      <w:pPr>
        <w:pStyle w:val="ListParagraph"/>
        <w:numPr>
          <w:ilvl w:val="0"/>
          <w:numId w:val="27"/>
        </w:numPr>
        <w:autoSpaceDE w:val="0"/>
        <w:autoSpaceDN w:val="0"/>
        <w:adjustRightInd w:val="0"/>
        <w:ind w:left="426" w:hanging="426"/>
        <w:jc w:val="both"/>
      </w:pPr>
      <w:bookmarkStart w:id="5" w:name="p50"/>
      <w:bookmarkStart w:id="6" w:name="p-1333108"/>
      <w:bookmarkEnd w:id="5"/>
      <w:bookmarkEnd w:id="6"/>
      <w:proofErr w:type="spellStart"/>
      <w:r w:rsidRPr="003E5DBF">
        <w:rPr>
          <w:i/>
          <w:iCs/>
        </w:rPr>
        <w:t>De</w:t>
      </w:r>
      <w:proofErr w:type="spellEnd"/>
      <w:r w:rsidRPr="003E5DBF">
        <w:rPr>
          <w:i/>
          <w:iCs/>
        </w:rPr>
        <w:t xml:space="preserve"> </w:t>
      </w:r>
      <w:proofErr w:type="spellStart"/>
      <w:r w:rsidRPr="003E5DBF">
        <w:rPr>
          <w:i/>
          <w:iCs/>
        </w:rPr>
        <w:t>minimis</w:t>
      </w:r>
      <w:proofErr w:type="spellEnd"/>
      <w:r w:rsidRPr="00753881">
        <w:t> atbalstu saskaņā ar Regulu Nr. </w:t>
      </w:r>
      <w:hyperlink r:id="rId15" w:tgtFrame="_blank" w:history="1">
        <w:r w:rsidRPr="00753881">
          <w:t>2023/2831</w:t>
        </w:r>
      </w:hyperlink>
      <w:r w:rsidRPr="00753881">
        <w:t> piešķir, ievērojot Regulas Nr. </w:t>
      </w:r>
      <w:hyperlink r:id="rId16" w:tgtFrame="_blank" w:history="1">
        <w:r w:rsidRPr="00753881">
          <w:t>2023/2831</w:t>
        </w:r>
      </w:hyperlink>
      <w:r w:rsidRPr="00753881">
        <w:t> 1. panta 1. punktā minētos nozaru un darbību ierobežojumus. Ja atbalsta pretendents vienlaikus darbojas vienā vai vairākās Regulas Nr. </w:t>
      </w:r>
      <w:hyperlink r:id="rId17" w:tgtFrame="_blank" w:history="1">
        <w:r w:rsidRPr="00753881">
          <w:t>2023/2831</w:t>
        </w:r>
      </w:hyperlink>
      <w:r w:rsidRPr="00753881">
        <w:t xml:space="preserve"> 1. panta 1. punkta a), b), c) un d) apakšpunktā minētajās nozarēs, atbalstu drīkst piešķirt tikai tad, ja atbalsta pretendents nodrošina šo nozaru darbību vai uzskaites nodalīšanu, lai saskaņā ar </w:t>
      </w:r>
      <w:r w:rsidRPr="00753881">
        <w:lastRenderedPageBreak/>
        <w:t>Regulas Nr. </w:t>
      </w:r>
      <w:hyperlink r:id="rId18" w:tgtFrame="_blank" w:history="1">
        <w:r w:rsidRPr="00753881">
          <w:t>2023/2831</w:t>
        </w:r>
      </w:hyperlink>
      <w:r w:rsidRPr="00753881">
        <w:t> 1. panta 2. punktu darbības izslēgtajās nozarēs negūst labumu no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753881">
        <w:t xml:space="preserve"> atbalsta, ko piešķir saskaņā ar šiem noteikumiem. </w:t>
      </w:r>
    </w:p>
    <w:p w14:paraId="23D7A60E" w14:textId="55FFAE05" w:rsidR="00C65D90" w:rsidRPr="00753881" w:rsidRDefault="00594DA7" w:rsidP="00541022">
      <w:pPr>
        <w:pStyle w:val="ListParagraph"/>
        <w:numPr>
          <w:ilvl w:val="0"/>
          <w:numId w:val="27"/>
        </w:numPr>
        <w:shd w:val="clear" w:color="auto" w:fill="FFFFFF"/>
        <w:spacing w:line="293" w:lineRule="atLeast"/>
        <w:ind w:left="426" w:hanging="426"/>
        <w:jc w:val="both"/>
      </w:pPr>
      <w:r w:rsidRPr="00753881">
        <w:t xml:space="preserve">Pašvaldības pienākums ir veikt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753881">
        <w:t xml:space="preserve"> atbalsta uzskaiti un piešķiršanu atbilstoši MK noteikumiem Nr. 715, kas ietver pienākumu Pašvaldībai pārbaudīt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753881">
        <w:t xml:space="preserve"> atbalsta uzskaites sistēmā sagatavoto pretendenta veidlapu un vienas darba dienas laikā pēc lēmuma pieņemšanas reģistrēt sistēmā piešķirto atbalstu.</w:t>
      </w:r>
    </w:p>
    <w:p w14:paraId="230A19D1" w14:textId="77777777" w:rsidR="00C65D90" w:rsidRPr="00753881" w:rsidRDefault="00C65D90" w:rsidP="00541022">
      <w:pPr>
        <w:pStyle w:val="ListParagraph"/>
        <w:numPr>
          <w:ilvl w:val="0"/>
          <w:numId w:val="27"/>
        </w:numPr>
        <w:shd w:val="clear" w:color="auto" w:fill="FFFFFF"/>
        <w:spacing w:line="293" w:lineRule="atLeast"/>
        <w:ind w:left="426" w:hanging="426"/>
        <w:jc w:val="both"/>
      </w:pPr>
      <w:bookmarkStart w:id="7" w:name="p51"/>
      <w:bookmarkStart w:id="8" w:name="p-1333109"/>
      <w:bookmarkEnd w:id="7"/>
      <w:bookmarkEnd w:id="8"/>
      <w:r w:rsidRPr="00753881">
        <w:t>Piešķirot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753881">
        <w:t> atbalstu, Pašvaldība pārbauda, vai plānotais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753881">
        <w:t> atbalsts kopā ar iepriekšējos trīs gados, skaitot no atbalsta piešķiršanas dienas, piešķirto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753881">
        <w:t> atbalstu viena vienota uzņēmuma līmenī nepārsniedz Regulas Nr. </w:t>
      </w:r>
      <w:hyperlink r:id="rId19" w:tgtFrame="_blank" w:history="1">
        <w:r w:rsidRPr="00753881">
          <w:t>2023/2831</w:t>
        </w:r>
      </w:hyperlink>
      <w:r w:rsidRPr="00753881">
        <w:t> 3. panta 2. punktā noteikto maksimālo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753881">
        <w:t> atbalsta apmēru. Viens vienots uzņēmums ir uzņēmums, kas atbilst Regulas Nr. </w:t>
      </w:r>
      <w:hyperlink r:id="rId20" w:tgtFrame="_blank" w:history="1">
        <w:r w:rsidRPr="00753881">
          <w:t>2023/2831</w:t>
        </w:r>
      </w:hyperlink>
      <w:r w:rsidRPr="00753881">
        <w:t> 2. panta 2. punktā noteiktajam.</w:t>
      </w:r>
    </w:p>
    <w:p w14:paraId="558D1947" w14:textId="68D192F0" w:rsidR="00C65D90" w:rsidRPr="00753881" w:rsidRDefault="00C65D90" w:rsidP="00541022">
      <w:pPr>
        <w:pStyle w:val="ListParagraph"/>
        <w:numPr>
          <w:ilvl w:val="0"/>
          <w:numId w:val="27"/>
        </w:numPr>
        <w:shd w:val="clear" w:color="auto" w:fill="FFFFFF"/>
        <w:spacing w:line="293" w:lineRule="atLeast"/>
        <w:ind w:left="426" w:hanging="426"/>
        <w:jc w:val="both"/>
      </w:pPr>
      <w:bookmarkStart w:id="9" w:name="p52"/>
      <w:bookmarkStart w:id="10" w:name="p-1333110"/>
      <w:bookmarkEnd w:id="9"/>
      <w:bookmarkEnd w:id="10"/>
      <w:r w:rsidRPr="00753881">
        <w:t>Šo noteikumu ietvaros piešķirto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753881">
        <w:t xml:space="preserve"> atbalstu drīkst </w:t>
      </w:r>
      <w:proofErr w:type="spellStart"/>
      <w:r w:rsidRPr="00753881">
        <w:t>kumulēt</w:t>
      </w:r>
      <w:proofErr w:type="spellEnd"/>
      <w:r w:rsidRPr="00753881">
        <w:t xml:space="preserve"> ar citu </w:t>
      </w:r>
      <w:proofErr w:type="spellStart"/>
      <w:r w:rsidR="00F80752">
        <w:rPr>
          <w:i/>
          <w:iCs/>
        </w:rPr>
        <w:t>de</w:t>
      </w:r>
      <w:proofErr w:type="spellEnd"/>
      <w:r w:rsidR="00F80752">
        <w:rPr>
          <w:i/>
          <w:iCs/>
        </w:rPr>
        <w:t> </w:t>
      </w:r>
      <w:proofErr w:type="spellStart"/>
      <w:r w:rsidRPr="003E5DBF">
        <w:rPr>
          <w:i/>
          <w:iCs/>
        </w:rPr>
        <w:t>minimis</w:t>
      </w:r>
      <w:proofErr w:type="spellEnd"/>
      <w:r w:rsidRPr="00753881">
        <w:t> atbalstu, tai skaitā attiecībā uz vienām un tām pašām attiecināmajām izmaksām, līdz Regulas Nr. </w:t>
      </w:r>
      <w:hyperlink r:id="rId21" w:tgtFrame="_blank" w:history="1">
        <w:r w:rsidRPr="00753881">
          <w:t>2023/2831</w:t>
        </w:r>
      </w:hyperlink>
      <w:r w:rsidRPr="00753881">
        <w:t xml:space="preserve"> 3. panta 2. punktā noteiktajam attiecīgajam robežlielumam, kā arī drīkst </w:t>
      </w:r>
      <w:proofErr w:type="spellStart"/>
      <w:r w:rsidRPr="00753881">
        <w:t>kumulēt</w:t>
      </w:r>
      <w:proofErr w:type="spellEnd"/>
      <w:r w:rsidRPr="00753881">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Pr="003E5DBF">
        <w:rPr>
          <w:i/>
        </w:rPr>
        <w:t>ad-hoc</w:t>
      </w:r>
      <w:proofErr w:type="spellEnd"/>
      <w:r w:rsidRPr="00753881">
        <w:t xml:space="preserve"> lēmumā vai Eiropas Komisijas lēmumā.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753881">
        <w:t> atbalstu ar citu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753881">
        <w:t> atbalstu par vienām un tām pašām izmaksām var apvienot, ja pēc atbalstu apvienošanas atbalsta vienībai vai izmaksu pozīcijai attiecīgā maksimālā atbalsta intensitāte nepārsniedz 100 %.</w:t>
      </w:r>
    </w:p>
    <w:p w14:paraId="210F9508" w14:textId="1F046430" w:rsidR="00C65D90" w:rsidRPr="00753881" w:rsidRDefault="00753881" w:rsidP="00541022">
      <w:pPr>
        <w:pStyle w:val="ListParagraph"/>
        <w:numPr>
          <w:ilvl w:val="0"/>
          <w:numId w:val="27"/>
        </w:numPr>
        <w:shd w:val="clear" w:color="auto" w:fill="FFFFFF"/>
        <w:spacing w:line="293" w:lineRule="atLeast"/>
        <w:ind w:left="426" w:hanging="426"/>
        <w:jc w:val="both"/>
      </w:pPr>
      <w:bookmarkStart w:id="11" w:name="p53"/>
      <w:bookmarkStart w:id="12" w:name="p-1280795"/>
      <w:bookmarkEnd w:id="11"/>
      <w:bookmarkEnd w:id="12"/>
      <w:r w:rsidRPr="00753881">
        <w:t>F</w:t>
      </w:r>
      <w:r w:rsidR="00C65D90" w:rsidRPr="00753881">
        <w:t>inansējuma saņēmējam ir jāiesniedz visa informācija par plānoto un piešķirto atbalstu par tām pašām attiecināmajām izmaksām, norādot atbalsta piešķiršanas datumu, atbalsta sniedzēju, atbalsta pasākumu un plānoto/piešķirto atbalsta summu un atbalsta intensitāti.</w:t>
      </w:r>
    </w:p>
    <w:p w14:paraId="6DD51E62" w14:textId="6393EDD3" w:rsidR="00C65D90" w:rsidRPr="00753881" w:rsidRDefault="00C65D90" w:rsidP="00541022">
      <w:pPr>
        <w:pStyle w:val="ListParagraph"/>
        <w:numPr>
          <w:ilvl w:val="0"/>
          <w:numId w:val="27"/>
        </w:numPr>
        <w:shd w:val="clear" w:color="auto" w:fill="FFFFFF"/>
        <w:spacing w:line="293" w:lineRule="atLeast"/>
        <w:ind w:left="426" w:hanging="426"/>
        <w:jc w:val="both"/>
      </w:pPr>
      <w:bookmarkStart w:id="13" w:name="p54"/>
      <w:bookmarkStart w:id="14" w:name="p-1280796"/>
      <w:bookmarkEnd w:id="13"/>
      <w:bookmarkEnd w:id="14"/>
      <w:r w:rsidRPr="00753881">
        <w:t xml:space="preserve">Par </w:t>
      </w:r>
      <w:r w:rsidR="00F80752">
        <w:t>F</w:t>
      </w:r>
      <w:r w:rsidR="003432D3" w:rsidRPr="00753881">
        <w:t xml:space="preserve">inansējuma kā </w:t>
      </w:r>
      <w:r w:rsidRPr="00753881">
        <w:t>atbalsta piešķiršanas brīdi tiek</w:t>
      </w:r>
      <w:r w:rsidR="00F80752">
        <w:t xml:space="preserve"> uzskatīta diena, kad noslēgts L</w:t>
      </w:r>
      <w:r w:rsidRPr="00753881">
        <w:t xml:space="preserve">īgums ar </w:t>
      </w:r>
      <w:r w:rsidR="00F80752">
        <w:t>F</w:t>
      </w:r>
      <w:r w:rsidR="003432D3" w:rsidRPr="00753881">
        <w:t>inansējuma saņēmēju</w:t>
      </w:r>
      <w:r w:rsidRPr="00753881">
        <w:t>.</w:t>
      </w:r>
    </w:p>
    <w:p w14:paraId="23FB8493" w14:textId="77777777" w:rsidR="00C65D90" w:rsidRPr="001148BA" w:rsidRDefault="00C65D90" w:rsidP="00541022">
      <w:pPr>
        <w:pStyle w:val="ListParagraph"/>
        <w:numPr>
          <w:ilvl w:val="0"/>
          <w:numId w:val="27"/>
        </w:numPr>
        <w:shd w:val="clear" w:color="auto" w:fill="FFFFFF"/>
        <w:spacing w:line="293" w:lineRule="atLeast"/>
        <w:ind w:left="426" w:hanging="426"/>
        <w:jc w:val="both"/>
      </w:pPr>
      <w:bookmarkStart w:id="15" w:name="p55"/>
      <w:bookmarkStart w:id="16" w:name="p-1333111"/>
      <w:bookmarkEnd w:id="15"/>
      <w:bookmarkEnd w:id="16"/>
      <w:r w:rsidRPr="001148BA">
        <w:t>Pašvaldība nodrošina dokumentācijas uzglabāšanu, ievērojot Regulas Nr.  </w:t>
      </w:r>
      <w:hyperlink r:id="rId22" w:tgtFrame="_blank" w:history="1">
        <w:r w:rsidRPr="001148BA">
          <w:t>2023/2831</w:t>
        </w:r>
      </w:hyperlink>
      <w:r w:rsidRPr="001148BA">
        <w:t> 6. panta 3. un 7. punktā minētos nosacījumus, un nodrošina informācijas pieejamību vismaz 10 (desmit) gadus no dienas, kurā saskaņā ar noteikumiem piešķirts pēdējais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1148BA">
        <w:t> atbalsts.</w:t>
      </w:r>
    </w:p>
    <w:p w14:paraId="0319AF55" w14:textId="6BEE9121" w:rsidR="00C65D90" w:rsidRPr="003432D3" w:rsidRDefault="00C65D90" w:rsidP="00541022">
      <w:pPr>
        <w:pStyle w:val="ListParagraph"/>
        <w:numPr>
          <w:ilvl w:val="0"/>
          <w:numId w:val="27"/>
        </w:numPr>
        <w:shd w:val="clear" w:color="auto" w:fill="FFFFFF"/>
        <w:spacing w:line="293" w:lineRule="atLeast"/>
        <w:ind w:left="426" w:hanging="426"/>
        <w:jc w:val="both"/>
      </w:pPr>
      <w:bookmarkStart w:id="17" w:name="p56"/>
      <w:bookmarkStart w:id="18" w:name="p-1333112"/>
      <w:bookmarkEnd w:id="17"/>
      <w:bookmarkEnd w:id="18"/>
      <w:proofErr w:type="spellStart"/>
      <w:r w:rsidRPr="003E5DBF">
        <w:rPr>
          <w:i/>
          <w:iCs/>
        </w:rPr>
        <w:t>De</w:t>
      </w:r>
      <w:proofErr w:type="spellEnd"/>
      <w:r w:rsidRPr="003E5DBF">
        <w:rPr>
          <w:i/>
          <w:iCs/>
        </w:rPr>
        <w:t xml:space="preserve"> </w:t>
      </w:r>
      <w:proofErr w:type="spellStart"/>
      <w:r w:rsidRPr="003E5DBF">
        <w:rPr>
          <w:i/>
          <w:iCs/>
        </w:rPr>
        <w:t>minimis</w:t>
      </w:r>
      <w:proofErr w:type="spellEnd"/>
      <w:r w:rsidRPr="003432D3">
        <w:t> </w:t>
      </w:r>
      <w:r w:rsidRPr="001248B9">
        <w:t xml:space="preserve">atbalsta </w:t>
      </w:r>
      <w:r w:rsidR="001248B9">
        <w:t>saņēmējs</w:t>
      </w:r>
      <w:r w:rsidR="001248B9" w:rsidRPr="003432D3">
        <w:t xml:space="preserve"> </w:t>
      </w:r>
      <w:r w:rsidR="00F80752">
        <w:t>(F</w:t>
      </w:r>
      <w:r w:rsidRPr="003432D3">
        <w:t>inansējuma saņēmējs), kas ir saņēmis pašvaldības līdzfinansējumu, uzglabā dokumentāciju, ievērojot Regulas Nr.  </w:t>
      </w:r>
      <w:hyperlink r:id="rId23" w:tgtFrame="_blank" w:history="1">
        <w:r w:rsidRPr="003432D3">
          <w:t>2023/2831</w:t>
        </w:r>
      </w:hyperlink>
      <w:r w:rsidRPr="003432D3">
        <w:t> 6. panta 3. un 7. punktā minētos nosacījumus, un nodrošina informācijas pieejamību vismaz 10 (desmit) gadus no atbalsta piešķiršanas dienas.</w:t>
      </w:r>
    </w:p>
    <w:p w14:paraId="0B67FEA3" w14:textId="26F94289" w:rsidR="00C65D90" w:rsidRPr="00D05B0B" w:rsidRDefault="00C65D90" w:rsidP="00541022">
      <w:pPr>
        <w:pStyle w:val="ListParagraph"/>
        <w:numPr>
          <w:ilvl w:val="0"/>
          <w:numId w:val="27"/>
        </w:numPr>
        <w:shd w:val="clear" w:color="auto" w:fill="FFFFFF"/>
        <w:spacing w:line="293" w:lineRule="atLeast"/>
        <w:ind w:left="426" w:hanging="426"/>
        <w:jc w:val="both"/>
      </w:pPr>
      <w:bookmarkStart w:id="19" w:name="p57"/>
      <w:bookmarkStart w:id="20" w:name="p-1333117"/>
      <w:bookmarkEnd w:id="19"/>
      <w:bookmarkEnd w:id="20"/>
      <w:r w:rsidRPr="003432D3">
        <w:t>Ja tiek pārkāpti Komisijas Regulas Nr. </w:t>
      </w:r>
      <w:hyperlink r:id="rId24" w:tgtFrame="_blank" w:history="1">
        <w:r w:rsidRPr="003432D3">
          <w:t>2023/2831</w:t>
        </w:r>
      </w:hyperlink>
      <w:r w:rsidRPr="003432D3">
        <w:t> nosa</w:t>
      </w:r>
      <w:r w:rsidR="00753881">
        <w:t>cījumi, atbalsta saņēmējam (</w:t>
      </w:r>
      <w:r w:rsidR="00F80752">
        <w:t>F</w:t>
      </w:r>
      <w:r w:rsidRPr="003432D3">
        <w:t>inansējuma saņēmējam) ir pienākums atmaksāt pašvaldībai projekta ietvaros saņemto nelikumīgo </w:t>
      </w:r>
      <w:proofErr w:type="spellStart"/>
      <w:r w:rsidRPr="003E5DBF">
        <w:rPr>
          <w:i/>
          <w:iCs/>
        </w:rPr>
        <w:t>de</w:t>
      </w:r>
      <w:proofErr w:type="spellEnd"/>
      <w:r w:rsidRPr="003E5DBF">
        <w:rPr>
          <w:i/>
          <w:iCs/>
        </w:rPr>
        <w:t xml:space="preserve"> </w:t>
      </w:r>
      <w:proofErr w:type="spellStart"/>
      <w:r w:rsidRPr="003E5DBF">
        <w:rPr>
          <w:i/>
          <w:iCs/>
        </w:rPr>
        <w:t>minimis</w:t>
      </w:r>
      <w:proofErr w:type="spellEnd"/>
      <w:r w:rsidRPr="003432D3">
        <w:t> atbalstu kopā ar procentiem</w:t>
      </w:r>
      <w:r w:rsidR="006107EC">
        <w:t xml:space="preserve"> no līdzekļiem, kas ir brīvi no </w:t>
      </w:r>
      <w:r w:rsidRPr="003432D3">
        <w:t>komercdarbības atbalsta, atbilstoši </w:t>
      </w:r>
      <w:hyperlink r:id="rId25" w:tgtFrame="_blank" w:history="1">
        <w:r w:rsidRPr="003432D3">
          <w:t>Komercdarbības atbalsta kontroles likuma</w:t>
        </w:r>
      </w:hyperlink>
      <w:r w:rsidRPr="00D05B0B">
        <w:t> IV vai V nodaļas nosacījumiem.</w:t>
      </w:r>
    </w:p>
    <w:p w14:paraId="2FA073E2" w14:textId="77777777" w:rsidR="004C06B2" w:rsidRPr="00D05B0B" w:rsidRDefault="004C06B2" w:rsidP="00D05B0B">
      <w:pPr>
        <w:ind w:left="851" w:hanging="359"/>
        <w:jc w:val="both"/>
      </w:pPr>
    </w:p>
    <w:p w14:paraId="398A6635" w14:textId="3310BCDF" w:rsidR="00C65D90" w:rsidRDefault="00753881" w:rsidP="00C65D90">
      <w:pPr>
        <w:pStyle w:val="ListParagraph"/>
        <w:numPr>
          <w:ilvl w:val="0"/>
          <w:numId w:val="2"/>
        </w:numPr>
        <w:jc w:val="center"/>
        <w:rPr>
          <w:b/>
          <w:bCs/>
          <w:caps/>
        </w:rPr>
      </w:pPr>
      <w:r>
        <w:rPr>
          <w:b/>
          <w:bCs/>
          <w:caps/>
        </w:rPr>
        <w:t>noslēguma jautājumi</w:t>
      </w:r>
    </w:p>
    <w:p w14:paraId="0D7FC3EE" w14:textId="77777777" w:rsidR="00C65D90" w:rsidRDefault="00C65D90" w:rsidP="00C65D90">
      <w:pPr>
        <w:pStyle w:val="ListParagraph"/>
        <w:ind w:left="1080"/>
        <w:rPr>
          <w:b/>
          <w:bCs/>
          <w:caps/>
        </w:rPr>
      </w:pPr>
    </w:p>
    <w:p w14:paraId="5614370E" w14:textId="5556F412" w:rsidR="00753881" w:rsidRPr="00753881" w:rsidRDefault="00753881" w:rsidP="00F80752">
      <w:pPr>
        <w:pStyle w:val="ListParagraph"/>
        <w:numPr>
          <w:ilvl w:val="0"/>
          <w:numId w:val="27"/>
        </w:numPr>
        <w:jc w:val="both"/>
      </w:pPr>
      <w:r w:rsidRPr="00753881">
        <w:t xml:space="preserve">Pašvaldībai ir tiesības mainīt nolikuma </w:t>
      </w:r>
      <w:r w:rsidR="00F80752">
        <w:t>nosacījumus</w:t>
      </w:r>
      <w:r w:rsidRPr="00753881">
        <w:t>, ņemot vērā valsts un Eiropas Savienības labās prakses piemērus mediju atbalsta jomā.</w:t>
      </w:r>
    </w:p>
    <w:p w14:paraId="12B24E8B" w14:textId="51D634DA" w:rsidR="00D05B0B" w:rsidRPr="00F76D89" w:rsidRDefault="00A72E50" w:rsidP="003E5DBF">
      <w:pPr>
        <w:pStyle w:val="ListParagraph"/>
        <w:widowControl w:val="0"/>
        <w:numPr>
          <w:ilvl w:val="0"/>
          <w:numId w:val="27"/>
        </w:numPr>
        <w:tabs>
          <w:tab w:val="left" w:pos="284"/>
        </w:tabs>
        <w:autoSpaceDE w:val="0"/>
        <w:autoSpaceDN w:val="0"/>
        <w:jc w:val="both"/>
      </w:pPr>
      <w:r w:rsidRPr="00A72E50">
        <w:t>P</w:t>
      </w:r>
      <w:r w:rsidR="00753881" w:rsidRPr="00A72E50">
        <w:t xml:space="preserve">ašvaldība 5 (piecu) darbdienu laikā pēc </w:t>
      </w:r>
      <w:r w:rsidR="003E5DBF">
        <w:t>L</w:t>
      </w:r>
      <w:r w:rsidR="00753881" w:rsidRPr="00A72E50">
        <w:t xml:space="preserve">īgumu noslēgšanas publicē </w:t>
      </w:r>
      <w:r w:rsidRPr="00A72E50">
        <w:t xml:space="preserve">informāciju par </w:t>
      </w:r>
      <w:r w:rsidR="00F80752">
        <w:t>F</w:t>
      </w:r>
      <w:r w:rsidRPr="00A72E50">
        <w:t xml:space="preserve">inansējuma saņēmējiem Pašvaldības </w:t>
      </w:r>
      <w:r w:rsidR="00753881" w:rsidRPr="00A72E50">
        <w:t>tīmekļa vietnē www.jelgava.lv.</w:t>
      </w:r>
    </w:p>
    <w:p w14:paraId="5D7BECCE" w14:textId="77777777" w:rsidR="00C65D90" w:rsidRDefault="00C65D90" w:rsidP="00452FA1">
      <w:pPr>
        <w:pStyle w:val="ListParagraph"/>
        <w:ind w:left="360"/>
        <w:rPr>
          <w:b/>
          <w:bCs/>
          <w:caps/>
        </w:rPr>
      </w:pPr>
    </w:p>
    <w:p w14:paraId="41CDFD08" w14:textId="77777777" w:rsidR="003E5DBF" w:rsidRPr="00C65D90" w:rsidRDefault="003E5DBF" w:rsidP="00452FA1">
      <w:pPr>
        <w:pStyle w:val="ListParagraph"/>
        <w:ind w:left="360"/>
        <w:rPr>
          <w:b/>
          <w:bCs/>
          <w:caps/>
        </w:rPr>
      </w:pPr>
    </w:p>
    <w:p w14:paraId="3440BAD6" w14:textId="2D8491B2" w:rsidR="00A72E50" w:rsidRDefault="006107EC" w:rsidP="00F01A4E">
      <w:pPr>
        <w:jc w:val="both"/>
      </w:pPr>
      <w:r>
        <w:t>D</w:t>
      </w:r>
      <w:r w:rsidR="006B1EDF" w:rsidRPr="00853BCD">
        <w:t>omes priekšsēdētājs</w:t>
      </w:r>
      <w:r w:rsidR="006B1EDF" w:rsidRPr="00853BCD">
        <w:tab/>
      </w:r>
      <w:r w:rsidR="006B1EDF" w:rsidRPr="00853BCD">
        <w:tab/>
      </w:r>
      <w:r w:rsidR="006B1EDF" w:rsidRPr="00853BCD">
        <w:tab/>
      </w:r>
      <w:r>
        <w:tab/>
      </w:r>
      <w:r>
        <w:tab/>
      </w:r>
      <w:r>
        <w:tab/>
      </w:r>
      <w:r>
        <w:tab/>
      </w:r>
      <w:r>
        <w:tab/>
      </w:r>
      <w:r w:rsidR="006B1EDF" w:rsidRPr="00853BCD">
        <w:tab/>
      </w:r>
      <w:proofErr w:type="spellStart"/>
      <w:r w:rsidR="00753881">
        <w:t>M.Daģis</w:t>
      </w:r>
      <w:proofErr w:type="spellEnd"/>
    </w:p>
    <w:sectPr w:rsidR="00A72E50" w:rsidSect="001B767A">
      <w:footerReference w:type="default" r:id="rId26"/>
      <w:headerReference w:type="first" r:id="rId2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1E56B" w14:textId="77777777" w:rsidR="00647807" w:rsidRDefault="00647807">
      <w:r>
        <w:separator/>
      </w:r>
    </w:p>
  </w:endnote>
  <w:endnote w:type="continuationSeparator" w:id="0">
    <w:p w14:paraId="12A3F260" w14:textId="77777777" w:rsidR="00647807" w:rsidRDefault="0064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397091"/>
      <w:docPartObj>
        <w:docPartGallery w:val="Page Numbers (Bottom of Page)"/>
        <w:docPartUnique/>
      </w:docPartObj>
    </w:sdtPr>
    <w:sdtEndPr>
      <w:rPr>
        <w:noProof/>
      </w:rPr>
    </w:sdtEndPr>
    <w:sdtContent>
      <w:p w14:paraId="78398B19" w14:textId="6ED6291F" w:rsidR="00B95D60" w:rsidRDefault="00B95D60" w:rsidP="006107EC">
        <w:pPr>
          <w:pStyle w:val="Footer"/>
          <w:jc w:val="center"/>
        </w:pPr>
        <w:r>
          <w:fldChar w:fldCharType="begin"/>
        </w:r>
        <w:r>
          <w:instrText xml:space="preserve"> PAGE   \* MERGEFORMAT </w:instrText>
        </w:r>
        <w:r>
          <w:fldChar w:fldCharType="separate"/>
        </w:r>
        <w:r w:rsidR="000355CB">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F5FF5" w14:textId="77777777" w:rsidR="00647807" w:rsidRDefault="00647807">
      <w:r>
        <w:separator/>
      </w:r>
    </w:p>
  </w:footnote>
  <w:footnote w:type="continuationSeparator" w:id="0">
    <w:p w14:paraId="08D195B5" w14:textId="77777777" w:rsidR="00647807" w:rsidRDefault="00647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B95D60" w14:paraId="61FBEBF2" w14:textId="77777777" w:rsidTr="007D6584">
      <w:tc>
        <w:tcPr>
          <w:tcW w:w="1418" w:type="dxa"/>
          <w:tcBorders>
            <w:top w:val="single" w:sz="4" w:space="0" w:color="auto"/>
            <w:left w:val="nil"/>
            <w:bottom w:val="single" w:sz="4" w:space="0" w:color="auto"/>
            <w:right w:val="nil"/>
          </w:tcBorders>
          <w:vAlign w:val="center"/>
        </w:tcPr>
        <w:p w14:paraId="0FF22DA2" w14:textId="77777777" w:rsidR="00B95D60" w:rsidRDefault="00B95D60" w:rsidP="007D6584">
          <w:pPr>
            <w:pStyle w:val="Header"/>
            <w:jc w:val="center"/>
            <w:rPr>
              <w:rFonts w:ascii="Arial" w:hAnsi="Arial"/>
              <w:b/>
              <w:sz w:val="28"/>
            </w:rPr>
          </w:pPr>
          <w:r>
            <w:rPr>
              <w:rFonts w:ascii="Arial" w:hAnsi="Arial"/>
              <w:b/>
              <w:noProof/>
              <w:sz w:val="28"/>
            </w:rPr>
            <w:drawing>
              <wp:inline distT="0" distB="0" distL="0" distR="0" wp14:anchorId="447045CC" wp14:editId="22328F3C">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58CD6802" w14:textId="77777777" w:rsidR="00B95D60" w:rsidRDefault="00B95D60" w:rsidP="007D6584">
          <w:pPr>
            <w:pStyle w:val="Header"/>
            <w:spacing w:before="120"/>
            <w:rPr>
              <w:rFonts w:ascii="Arial" w:hAnsi="Arial"/>
              <w:b/>
              <w:sz w:val="28"/>
            </w:rPr>
          </w:pPr>
          <w:r>
            <w:rPr>
              <w:rFonts w:ascii="Arial" w:hAnsi="Arial"/>
              <w:b/>
              <w:sz w:val="28"/>
            </w:rPr>
            <w:t>Latvijas Republika</w:t>
          </w:r>
        </w:p>
        <w:p w14:paraId="5B1BEB7E" w14:textId="77777777" w:rsidR="00B95D60" w:rsidRPr="00BA4C9C" w:rsidRDefault="00B95D60" w:rsidP="007D6584">
          <w:pPr>
            <w:pStyle w:val="Header"/>
            <w:ind w:left="33" w:right="-1"/>
            <w:rPr>
              <w:rFonts w:ascii="Arial" w:hAnsi="Arial"/>
              <w:b/>
              <w:sz w:val="52"/>
              <w:szCs w:val="52"/>
            </w:rPr>
          </w:pPr>
          <w:r>
            <w:rPr>
              <w:rFonts w:ascii="Arial" w:hAnsi="Arial"/>
              <w:b/>
              <w:spacing w:val="-6"/>
              <w:sz w:val="38"/>
              <w:szCs w:val="38"/>
            </w:rPr>
            <w:t xml:space="preserve">Jelgavas </w:t>
          </w:r>
          <w:proofErr w:type="spellStart"/>
          <w:r>
            <w:rPr>
              <w:rFonts w:ascii="Arial" w:hAnsi="Arial"/>
              <w:b/>
              <w:spacing w:val="-6"/>
              <w:sz w:val="38"/>
              <w:szCs w:val="38"/>
            </w:rPr>
            <w:t>valstspilsētas</w:t>
          </w:r>
          <w:proofErr w:type="spellEnd"/>
          <w:r>
            <w:rPr>
              <w:rFonts w:ascii="Arial" w:hAnsi="Arial"/>
              <w:b/>
              <w:spacing w:val="-6"/>
              <w:sz w:val="38"/>
              <w:szCs w:val="38"/>
            </w:rPr>
            <w:t xml:space="preserve"> pašvaldības dome</w:t>
          </w:r>
        </w:p>
        <w:p w14:paraId="592627A6" w14:textId="77777777" w:rsidR="00B95D60" w:rsidRDefault="00B95D60" w:rsidP="007D6584">
          <w:pPr>
            <w:pStyle w:val="Header"/>
            <w:tabs>
              <w:tab w:val="left" w:pos="1440"/>
            </w:tabs>
            <w:ind w:left="33"/>
            <w:jc w:val="center"/>
            <w:rPr>
              <w:rFonts w:ascii="Arial" w:hAnsi="Arial"/>
              <w:sz w:val="10"/>
            </w:rPr>
          </w:pPr>
        </w:p>
        <w:p w14:paraId="27CBF435" w14:textId="77777777" w:rsidR="00B95D60" w:rsidRPr="00727F3B" w:rsidRDefault="00B95D60"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5664541E" w14:textId="77777777" w:rsidR="00B95D60" w:rsidRPr="009B0803" w:rsidRDefault="00B95D60" w:rsidP="009E5AD0">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Pr>
              <w:rFonts w:ascii="Arial" w:hAnsi="Arial"/>
              <w:sz w:val="17"/>
              <w:szCs w:val="17"/>
            </w:rPr>
            <w:t>pasts</w:t>
          </w:r>
          <w:r w:rsidRPr="00727F3B">
            <w:rPr>
              <w:rFonts w:ascii="Arial" w:hAnsi="Arial"/>
              <w:sz w:val="17"/>
              <w:szCs w:val="17"/>
            </w:rPr>
            <w:t>@jelgava.lv</w:t>
          </w:r>
        </w:p>
      </w:tc>
    </w:tr>
  </w:tbl>
  <w:p w14:paraId="18979615" w14:textId="77777777" w:rsidR="00B95D60" w:rsidRPr="007D6584" w:rsidRDefault="00B95D60"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4EB"/>
    <w:multiLevelType w:val="multilevel"/>
    <w:tmpl w:val="FEA6F07C"/>
    <w:lvl w:ilvl="0">
      <w:start w:val="11"/>
      <w:numFmt w:val="decimal"/>
      <w:lvlText w:val="%1"/>
      <w:lvlJc w:val="left"/>
      <w:pPr>
        <w:ind w:left="420" w:hanging="420"/>
      </w:pPr>
      <w:rPr>
        <w:rFonts w:hint="default"/>
      </w:rPr>
    </w:lvl>
    <w:lvl w:ilvl="1">
      <w:start w:val="3"/>
      <w:numFmt w:val="decimal"/>
      <w:lvlText w:val="%1.%2"/>
      <w:lvlJc w:val="left"/>
      <w:pPr>
        <w:ind w:left="1424" w:hanging="4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15:restartNumberingAfterBreak="0">
    <w:nsid w:val="039D3F79"/>
    <w:multiLevelType w:val="multilevel"/>
    <w:tmpl w:val="7A4EA5B2"/>
    <w:lvl w:ilvl="0">
      <w:start w:val="10"/>
      <w:numFmt w:val="decimal"/>
      <w:lvlText w:val="%1."/>
      <w:lvlJc w:val="left"/>
      <w:pPr>
        <w:ind w:left="480" w:hanging="480"/>
      </w:pPr>
      <w:rPr>
        <w:rFonts w:hint="default"/>
      </w:rPr>
    </w:lvl>
    <w:lvl w:ilvl="1">
      <w:start w:val="2"/>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 w15:restartNumberingAfterBreak="0">
    <w:nsid w:val="03BA346D"/>
    <w:multiLevelType w:val="multilevel"/>
    <w:tmpl w:val="D2E405C0"/>
    <w:lvl w:ilvl="0">
      <w:start w:val="9"/>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049F0558"/>
    <w:multiLevelType w:val="multilevel"/>
    <w:tmpl w:val="A2EEEC7C"/>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5F00B3D"/>
    <w:multiLevelType w:val="multilevel"/>
    <w:tmpl w:val="870EB30E"/>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83932BF"/>
    <w:multiLevelType w:val="hybridMultilevel"/>
    <w:tmpl w:val="2B12DA6E"/>
    <w:lvl w:ilvl="0" w:tplc="0809000F">
      <w:start w:val="1"/>
      <w:numFmt w:val="decimal"/>
      <w:lvlText w:val="%1."/>
      <w:lvlJc w:val="left"/>
      <w:pPr>
        <w:ind w:left="2591" w:hanging="360"/>
      </w:pPr>
    </w:lvl>
    <w:lvl w:ilvl="1" w:tplc="04260019" w:tentative="1">
      <w:start w:val="1"/>
      <w:numFmt w:val="lowerLetter"/>
      <w:lvlText w:val="%2."/>
      <w:lvlJc w:val="left"/>
      <w:pPr>
        <w:ind w:left="3311" w:hanging="360"/>
      </w:pPr>
    </w:lvl>
    <w:lvl w:ilvl="2" w:tplc="0426001B" w:tentative="1">
      <w:start w:val="1"/>
      <w:numFmt w:val="lowerRoman"/>
      <w:lvlText w:val="%3."/>
      <w:lvlJc w:val="right"/>
      <w:pPr>
        <w:ind w:left="4031" w:hanging="180"/>
      </w:pPr>
    </w:lvl>
    <w:lvl w:ilvl="3" w:tplc="0426000F" w:tentative="1">
      <w:start w:val="1"/>
      <w:numFmt w:val="decimal"/>
      <w:lvlText w:val="%4."/>
      <w:lvlJc w:val="left"/>
      <w:pPr>
        <w:ind w:left="4751" w:hanging="360"/>
      </w:pPr>
    </w:lvl>
    <w:lvl w:ilvl="4" w:tplc="04260019" w:tentative="1">
      <w:start w:val="1"/>
      <w:numFmt w:val="lowerLetter"/>
      <w:lvlText w:val="%5."/>
      <w:lvlJc w:val="left"/>
      <w:pPr>
        <w:ind w:left="5471" w:hanging="360"/>
      </w:pPr>
    </w:lvl>
    <w:lvl w:ilvl="5" w:tplc="0426001B" w:tentative="1">
      <w:start w:val="1"/>
      <w:numFmt w:val="lowerRoman"/>
      <w:lvlText w:val="%6."/>
      <w:lvlJc w:val="right"/>
      <w:pPr>
        <w:ind w:left="6191" w:hanging="180"/>
      </w:pPr>
    </w:lvl>
    <w:lvl w:ilvl="6" w:tplc="0426000F" w:tentative="1">
      <w:start w:val="1"/>
      <w:numFmt w:val="decimal"/>
      <w:lvlText w:val="%7."/>
      <w:lvlJc w:val="left"/>
      <w:pPr>
        <w:ind w:left="6911" w:hanging="360"/>
      </w:pPr>
    </w:lvl>
    <w:lvl w:ilvl="7" w:tplc="04260019" w:tentative="1">
      <w:start w:val="1"/>
      <w:numFmt w:val="lowerLetter"/>
      <w:lvlText w:val="%8."/>
      <w:lvlJc w:val="left"/>
      <w:pPr>
        <w:ind w:left="7631" w:hanging="360"/>
      </w:pPr>
    </w:lvl>
    <w:lvl w:ilvl="8" w:tplc="0426001B" w:tentative="1">
      <w:start w:val="1"/>
      <w:numFmt w:val="lowerRoman"/>
      <w:lvlText w:val="%9."/>
      <w:lvlJc w:val="right"/>
      <w:pPr>
        <w:ind w:left="8351" w:hanging="180"/>
      </w:pPr>
    </w:lvl>
  </w:abstractNum>
  <w:abstractNum w:abstractNumId="6" w15:restartNumberingAfterBreak="0">
    <w:nsid w:val="086D7B82"/>
    <w:multiLevelType w:val="multilevel"/>
    <w:tmpl w:val="0E32035E"/>
    <w:lvl w:ilvl="0">
      <w:start w:val="5"/>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091D3D44"/>
    <w:multiLevelType w:val="multilevel"/>
    <w:tmpl w:val="7C706F12"/>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ED9413C"/>
    <w:multiLevelType w:val="multilevel"/>
    <w:tmpl w:val="D13C9A96"/>
    <w:lvl w:ilvl="0">
      <w:start w:val="13"/>
      <w:numFmt w:val="decimal"/>
      <w:lvlText w:val="%1."/>
      <w:lvlJc w:val="left"/>
      <w:pPr>
        <w:ind w:left="480" w:hanging="480"/>
      </w:pPr>
      <w:rPr>
        <w:rFonts w:hint="default"/>
        <w:b w:val="0"/>
      </w:rPr>
    </w:lvl>
    <w:lvl w:ilvl="1">
      <w:start w:val="1"/>
      <w:numFmt w:val="decimal"/>
      <w:lvlText w:val="%1.%2."/>
      <w:lvlJc w:val="left"/>
      <w:pPr>
        <w:ind w:left="1326" w:hanging="480"/>
      </w:pPr>
      <w:rPr>
        <w:rFonts w:hint="default"/>
        <w:b w:val="0"/>
      </w:rPr>
    </w:lvl>
    <w:lvl w:ilvl="2">
      <w:start w:val="1"/>
      <w:numFmt w:val="decimal"/>
      <w:lvlText w:val="%1.%2.%3."/>
      <w:lvlJc w:val="left"/>
      <w:pPr>
        <w:ind w:left="2412" w:hanging="720"/>
      </w:pPr>
      <w:rPr>
        <w:rFonts w:hint="default"/>
        <w:b w:val="0"/>
      </w:rPr>
    </w:lvl>
    <w:lvl w:ilvl="3">
      <w:start w:val="1"/>
      <w:numFmt w:val="decimal"/>
      <w:lvlText w:val="%1.%2.%3.%4."/>
      <w:lvlJc w:val="left"/>
      <w:pPr>
        <w:ind w:left="3258" w:hanging="720"/>
      </w:pPr>
      <w:rPr>
        <w:rFonts w:hint="default"/>
        <w:b w:val="0"/>
      </w:rPr>
    </w:lvl>
    <w:lvl w:ilvl="4">
      <w:start w:val="1"/>
      <w:numFmt w:val="decimal"/>
      <w:lvlText w:val="%1.%2.%3.%4.%5."/>
      <w:lvlJc w:val="left"/>
      <w:pPr>
        <w:ind w:left="4464" w:hanging="1080"/>
      </w:pPr>
      <w:rPr>
        <w:rFonts w:hint="default"/>
        <w:b w:val="0"/>
      </w:rPr>
    </w:lvl>
    <w:lvl w:ilvl="5">
      <w:start w:val="1"/>
      <w:numFmt w:val="decimal"/>
      <w:lvlText w:val="%1.%2.%3.%4.%5.%6."/>
      <w:lvlJc w:val="left"/>
      <w:pPr>
        <w:ind w:left="5310" w:hanging="1080"/>
      </w:pPr>
      <w:rPr>
        <w:rFonts w:hint="default"/>
        <w:b w:val="0"/>
      </w:rPr>
    </w:lvl>
    <w:lvl w:ilvl="6">
      <w:start w:val="1"/>
      <w:numFmt w:val="decimal"/>
      <w:lvlText w:val="%1.%2.%3.%4.%5.%6.%7."/>
      <w:lvlJc w:val="left"/>
      <w:pPr>
        <w:ind w:left="6516" w:hanging="1440"/>
      </w:pPr>
      <w:rPr>
        <w:rFonts w:hint="default"/>
        <w:b w:val="0"/>
      </w:rPr>
    </w:lvl>
    <w:lvl w:ilvl="7">
      <w:start w:val="1"/>
      <w:numFmt w:val="decimal"/>
      <w:lvlText w:val="%1.%2.%3.%4.%5.%6.%7.%8."/>
      <w:lvlJc w:val="left"/>
      <w:pPr>
        <w:ind w:left="7362" w:hanging="1440"/>
      </w:pPr>
      <w:rPr>
        <w:rFonts w:hint="default"/>
        <w:b w:val="0"/>
      </w:rPr>
    </w:lvl>
    <w:lvl w:ilvl="8">
      <w:start w:val="1"/>
      <w:numFmt w:val="decimal"/>
      <w:lvlText w:val="%1.%2.%3.%4.%5.%6.%7.%8.%9."/>
      <w:lvlJc w:val="left"/>
      <w:pPr>
        <w:ind w:left="8568" w:hanging="1800"/>
      </w:pPr>
      <w:rPr>
        <w:rFonts w:hint="default"/>
        <w:b w:val="0"/>
      </w:rPr>
    </w:lvl>
  </w:abstractNum>
  <w:abstractNum w:abstractNumId="9" w15:restartNumberingAfterBreak="0">
    <w:nsid w:val="16F90D99"/>
    <w:multiLevelType w:val="multilevel"/>
    <w:tmpl w:val="C310B4A8"/>
    <w:lvl w:ilvl="0">
      <w:start w:val="1"/>
      <w:numFmt w:val="decimal"/>
      <w:lvlText w:val="%1."/>
      <w:lvlJc w:val="left"/>
      <w:pPr>
        <w:ind w:left="360" w:hanging="360"/>
      </w:pPr>
      <w:rPr>
        <w:rFonts w:hint="default"/>
        <w:b/>
        <w:bCs/>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076CB9"/>
    <w:multiLevelType w:val="multilevel"/>
    <w:tmpl w:val="6436C900"/>
    <w:lvl w:ilvl="0">
      <w:start w:val="14"/>
      <w:numFmt w:val="decimal"/>
      <w:lvlText w:val="%1."/>
      <w:lvlJc w:val="left"/>
      <w:pPr>
        <w:ind w:left="480"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1" w15:restartNumberingAfterBreak="0">
    <w:nsid w:val="1CFF228A"/>
    <w:multiLevelType w:val="multilevel"/>
    <w:tmpl w:val="5D8ACDF8"/>
    <w:lvl w:ilvl="0">
      <w:start w:val="12"/>
      <w:numFmt w:val="decimal"/>
      <w:lvlText w:val="%1."/>
      <w:lvlJc w:val="left"/>
      <w:pPr>
        <w:ind w:left="480" w:hanging="480"/>
      </w:pPr>
      <w:rPr>
        <w:rFonts w:hint="default"/>
        <w:b w:val="0"/>
      </w:rPr>
    </w:lvl>
    <w:lvl w:ilvl="1">
      <w:start w:val="4"/>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287E1C08"/>
    <w:multiLevelType w:val="multilevel"/>
    <w:tmpl w:val="505C70F4"/>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D4B6408"/>
    <w:multiLevelType w:val="multilevel"/>
    <w:tmpl w:val="5E1CC7D6"/>
    <w:lvl w:ilvl="0">
      <w:start w:val="22"/>
      <w:numFmt w:val="decimal"/>
      <w:lvlText w:val="%1."/>
      <w:lvlJc w:val="left"/>
      <w:pPr>
        <w:ind w:left="480"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D8A3463"/>
    <w:multiLevelType w:val="multilevel"/>
    <w:tmpl w:val="00B6AE1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16F3227"/>
    <w:multiLevelType w:val="hybridMultilevel"/>
    <w:tmpl w:val="725E10A2"/>
    <w:lvl w:ilvl="0" w:tplc="328CA6CC">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AE6E98"/>
    <w:multiLevelType w:val="multilevel"/>
    <w:tmpl w:val="4040565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3382B8B"/>
    <w:multiLevelType w:val="multilevel"/>
    <w:tmpl w:val="6DBC61A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55C4974"/>
    <w:multiLevelType w:val="hybridMultilevel"/>
    <w:tmpl w:val="725E10A2"/>
    <w:lvl w:ilvl="0" w:tplc="328CA6CC">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5B0122"/>
    <w:multiLevelType w:val="multilevel"/>
    <w:tmpl w:val="252682A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8152CA"/>
    <w:multiLevelType w:val="multilevel"/>
    <w:tmpl w:val="BC36ED12"/>
    <w:lvl w:ilvl="0">
      <w:start w:val="1"/>
      <w:numFmt w:val="decimal"/>
      <w:lvlText w:val="%1."/>
      <w:lvlJc w:val="left"/>
      <w:pPr>
        <w:ind w:left="360" w:hanging="360"/>
      </w:pPr>
      <w:rPr>
        <w:rFonts w:hint="default"/>
        <w:i w:val="0"/>
        <w:sz w:val="24"/>
      </w:rPr>
    </w:lvl>
    <w:lvl w:ilvl="1">
      <w:start w:val="1"/>
      <w:numFmt w:val="decimal"/>
      <w:lvlText w:val="%1.%2."/>
      <w:lvlJc w:val="left"/>
      <w:pPr>
        <w:ind w:left="644" w:hanging="360"/>
      </w:pPr>
      <w:rPr>
        <w:rFonts w:hint="default"/>
        <w:i w:val="0"/>
        <w:sz w:val="24"/>
      </w:rPr>
    </w:lvl>
    <w:lvl w:ilvl="2">
      <w:start w:val="1"/>
      <w:numFmt w:val="decimal"/>
      <w:lvlText w:val="%1.%2.%3."/>
      <w:lvlJc w:val="left"/>
      <w:pPr>
        <w:ind w:left="1288" w:hanging="720"/>
      </w:pPr>
      <w:rPr>
        <w:rFonts w:hint="default"/>
        <w:i w:val="0"/>
        <w:sz w:val="24"/>
      </w:rPr>
    </w:lvl>
    <w:lvl w:ilvl="3">
      <w:start w:val="1"/>
      <w:numFmt w:val="decimal"/>
      <w:lvlText w:val="%1.%2.%3.%4."/>
      <w:lvlJc w:val="left"/>
      <w:pPr>
        <w:ind w:left="1572" w:hanging="720"/>
      </w:pPr>
      <w:rPr>
        <w:rFonts w:hint="default"/>
        <w:i w:val="0"/>
        <w:sz w:val="24"/>
      </w:rPr>
    </w:lvl>
    <w:lvl w:ilvl="4">
      <w:start w:val="1"/>
      <w:numFmt w:val="decimal"/>
      <w:lvlText w:val="%1.%2.%3.%4.%5."/>
      <w:lvlJc w:val="left"/>
      <w:pPr>
        <w:ind w:left="2216" w:hanging="1080"/>
      </w:pPr>
      <w:rPr>
        <w:rFonts w:hint="default"/>
        <w:i w:val="0"/>
        <w:sz w:val="24"/>
      </w:rPr>
    </w:lvl>
    <w:lvl w:ilvl="5">
      <w:start w:val="1"/>
      <w:numFmt w:val="decimal"/>
      <w:lvlText w:val="%1.%2.%3.%4.%5.%6."/>
      <w:lvlJc w:val="left"/>
      <w:pPr>
        <w:ind w:left="2500" w:hanging="1080"/>
      </w:pPr>
      <w:rPr>
        <w:rFonts w:hint="default"/>
        <w:i w:val="0"/>
        <w:sz w:val="24"/>
      </w:rPr>
    </w:lvl>
    <w:lvl w:ilvl="6">
      <w:start w:val="1"/>
      <w:numFmt w:val="decimal"/>
      <w:lvlText w:val="%1.%2.%3.%4.%5.%6.%7."/>
      <w:lvlJc w:val="left"/>
      <w:pPr>
        <w:ind w:left="2784" w:hanging="1080"/>
      </w:pPr>
      <w:rPr>
        <w:rFonts w:hint="default"/>
        <w:i w:val="0"/>
        <w:sz w:val="24"/>
      </w:rPr>
    </w:lvl>
    <w:lvl w:ilvl="7">
      <w:start w:val="1"/>
      <w:numFmt w:val="decimal"/>
      <w:lvlText w:val="%1.%2.%3.%4.%5.%6.%7.%8."/>
      <w:lvlJc w:val="left"/>
      <w:pPr>
        <w:ind w:left="3428" w:hanging="1440"/>
      </w:pPr>
      <w:rPr>
        <w:rFonts w:hint="default"/>
        <w:i w:val="0"/>
        <w:sz w:val="24"/>
      </w:rPr>
    </w:lvl>
    <w:lvl w:ilvl="8">
      <w:start w:val="1"/>
      <w:numFmt w:val="decimal"/>
      <w:lvlText w:val="%1.%2.%3.%4.%5.%6.%7.%8.%9."/>
      <w:lvlJc w:val="left"/>
      <w:pPr>
        <w:ind w:left="3712" w:hanging="1440"/>
      </w:pPr>
      <w:rPr>
        <w:rFonts w:hint="default"/>
        <w:i w:val="0"/>
        <w:sz w:val="24"/>
      </w:rPr>
    </w:lvl>
  </w:abstractNum>
  <w:abstractNum w:abstractNumId="21" w15:restartNumberingAfterBreak="0">
    <w:nsid w:val="4AB83909"/>
    <w:multiLevelType w:val="multilevel"/>
    <w:tmpl w:val="9D80BA04"/>
    <w:lvl w:ilvl="0">
      <w:start w:val="1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EC064AC"/>
    <w:multiLevelType w:val="hybridMultilevel"/>
    <w:tmpl w:val="725E10A2"/>
    <w:lvl w:ilvl="0" w:tplc="328CA6CC">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497741B"/>
    <w:multiLevelType w:val="multilevel"/>
    <w:tmpl w:val="3D9CD914"/>
    <w:lvl w:ilvl="0">
      <w:start w:val="1"/>
      <w:numFmt w:val="decimal"/>
      <w:lvlText w:val="%1."/>
      <w:lvlJc w:val="left"/>
      <w:pPr>
        <w:ind w:left="360" w:hanging="360"/>
      </w:pPr>
      <w:rPr>
        <w:rFonts w:hint="default"/>
        <w:b w:val="0"/>
        <w:bCs w:val="0"/>
        <w:i w:val="0"/>
        <w:iCs w:val="0"/>
        <w:color w:val="auto"/>
        <w:w w:val="100"/>
        <w:sz w:val="24"/>
        <w:szCs w:val="24"/>
        <w:lang w:val="lv-LV" w:eastAsia="en-US" w:bidi="ar-SA"/>
      </w:rPr>
    </w:lvl>
    <w:lvl w:ilvl="1">
      <w:start w:val="1"/>
      <w:numFmt w:val="decimal"/>
      <w:lvlText w:val="%1.%2."/>
      <w:lvlJc w:val="left"/>
      <w:pPr>
        <w:ind w:left="2134" w:hanging="432"/>
      </w:pPr>
      <w:rPr>
        <w:rFonts w:hint="default"/>
        <w:b w:val="0"/>
        <w:bCs w:val="0"/>
        <w:strike w:val="0"/>
        <w:color w:val="auto"/>
        <w:sz w:val="24"/>
        <w:szCs w:val="24"/>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4" w15:restartNumberingAfterBreak="0">
    <w:nsid w:val="57DB4274"/>
    <w:multiLevelType w:val="multilevel"/>
    <w:tmpl w:val="E876A6AC"/>
    <w:lvl w:ilvl="0">
      <w:start w:val="19"/>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8EA4ACC"/>
    <w:multiLevelType w:val="hybridMultilevel"/>
    <w:tmpl w:val="007E60FA"/>
    <w:lvl w:ilvl="0" w:tplc="0826E1C0">
      <w:start w:val="1"/>
      <w:numFmt w:val="decimal"/>
      <w:lvlText w:val="%1."/>
      <w:lvlJc w:val="left"/>
      <w:pPr>
        <w:ind w:left="1152" w:hanging="360"/>
      </w:pPr>
      <w:rPr>
        <w:rFonts w:hint="default"/>
        <w:i w:val="0"/>
        <w:sz w:val="24"/>
      </w:rPr>
    </w:lvl>
    <w:lvl w:ilvl="1" w:tplc="04260019">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6" w15:restartNumberingAfterBreak="0">
    <w:nsid w:val="5B646161"/>
    <w:multiLevelType w:val="multilevel"/>
    <w:tmpl w:val="0718646E"/>
    <w:lvl w:ilvl="0">
      <w:start w:val="14"/>
      <w:numFmt w:val="decimal"/>
      <w:lvlText w:val="%1."/>
      <w:lvlJc w:val="left"/>
      <w:pPr>
        <w:ind w:left="480"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7" w15:restartNumberingAfterBreak="0">
    <w:nsid w:val="60FB3FCB"/>
    <w:multiLevelType w:val="multilevel"/>
    <w:tmpl w:val="CD78F6C0"/>
    <w:lvl w:ilvl="0">
      <w:start w:val="1"/>
      <w:numFmt w:val="decimal"/>
      <w:lvlText w:val="%1."/>
      <w:lvlJc w:val="left"/>
      <w:pPr>
        <w:ind w:left="360" w:hanging="360"/>
      </w:pPr>
      <w:rPr>
        <w:rFonts w:hint="default"/>
        <w:b/>
        <w:bCs/>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3."/>
      <w:lvlJc w:val="left"/>
      <w:pPr>
        <w:ind w:left="1146"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8014C"/>
    <w:multiLevelType w:val="multilevel"/>
    <w:tmpl w:val="1F4E33FA"/>
    <w:lvl w:ilvl="0">
      <w:start w:val="21"/>
      <w:numFmt w:val="decimal"/>
      <w:lvlText w:val="%1."/>
      <w:lvlJc w:val="left"/>
      <w:pPr>
        <w:ind w:left="480"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30F04A4"/>
    <w:multiLevelType w:val="multilevel"/>
    <w:tmpl w:val="7AE646A6"/>
    <w:lvl w:ilvl="0">
      <w:start w:val="13"/>
      <w:numFmt w:val="decimal"/>
      <w:lvlText w:val="%1"/>
      <w:lvlJc w:val="left"/>
      <w:pPr>
        <w:ind w:left="420" w:hanging="420"/>
      </w:pPr>
      <w:rPr>
        <w:rFonts w:hint="default"/>
        <w:b w:val="0"/>
      </w:rPr>
    </w:lvl>
    <w:lvl w:ilvl="1">
      <w:start w:val="1"/>
      <w:numFmt w:val="decimal"/>
      <w:lvlText w:val="%1.%2"/>
      <w:lvlJc w:val="left"/>
      <w:pPr>
        <w:ind w:left="846" w:hanging="4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0" w15:restartNumberingAfterBreak="0">
    <w:nsid w:val="6481024A"/>
    <w:multiLevelType w:val="multilevel"/>
    <w:tmpl w:val="E040A01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C816173"/>
    <w:multiLevelType w:val="multilevel"/>
    <w:tmpl w:val="2C121642"/>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CFC4722"/>
    <w:multiLevelType w:val="multilevel"/>
    <w:tmpl w:val="FF5E6DE2"/>
    <w:lvl w:ilvl="0">
      <w:start w:val="4"/>
      <w:numFmt w:val="decimal"/>
      <w:lvlText w:val="%1."/>
      <w:lvlJc w:val="left"/>
      <w:pPr>
        <w:ind w:left="1069" w:hanging="360"/>
      </w:pPr>
      <w:rPr>
        <w:rFonts w:hint="default"/>
        <w:b w:val="0"/>
        <w:i w:val="0"/>
        <w:sz w:val="24"/>
      </w:rPr>
    </w:lvl>
    <w:lvl w:ilvl="1">
      <w:start w:val="1"/>
      <w:numFmt w:val="decimal"/>
      <w:lvlText w:val="%1.%2."/>
      <w:lvlJc w:val="left"/>
      <w:pPr>
        <w:ind w:left="786" w:hanging="360"/>
      </w:pPr>
      <w:rPr>
        <w:rFonts w:hint="default"/>
        <w:i w:val="0"/>
        <w:sz w:val="24"/>
      </w:rPr>
    </w:lvl>
    <w:lvl w:ilvl="2">
      <w:start w:val="1"/>
      <w:numFmt w:val="decimal"/>
      <w:lvlText w:val="%1.%2.%3."/>
      <w:lvlJc w:val="left"/>
      <w:pPr>
        <w:ind w:left="2422" w:hanging="720"/>
      </w:pPr>
      <w:rPr>
        <w:rFonts w:hint="default"/>
        <w:i w:val="0"/>
        <w:sz w:val="24"/>
      </w:rPr>
    </w:lvl>
    <w:lvl w:ilvl="3">
      <w:start w:val="1"/>
      <w:numFmt w:val="decimal"/>
      <w:lvlText w:val="%1.%2.%3.%4."/>
      <w:lvlJc w:val="left"/>
      <w:pPr>
        <w:ind w:left="3273" w:hanging="720"/>
      </w:pPr>
      <w:rPr>
        <w:rFonts w:hint="default"/>
        <w:i w:val="0"/>
        <w:sz w:val="24"/>
      </w:rPr>
    </w:lvl>
    <w:lvl w:ilvl="4">
      <w:start w:val="1"/>
      <w:numFmt w:val="decimal"/>
      <w:lvlText w:val="%1.%2.%3.%4.%5."/>
      <w:lvlJc w:val="left"/>
      <w:pPr>
        <w:ind w:left="4484" w:hanging="1080"/>
      </w:pPr>
      <w:rPr>
        <w:rFonts w:hint="default"/>
        <w:i w:val="0"/>
        <w:sz w:val="24"/>
      </w:rPr>
    </w:lvl>
    <w:lvl w:ilvl="5">
      <w:start w:val="1"/>
      <w:numFmt w:val="decimal"/>
      <w:lvlText w:val="%1.%2.%3.%4.%5.%6."/>
      <w:lvlJc w:val="left"/>
      <w:pPr>
        <w:ind w:left="5335" w:hanging="1080"/>
      </w:pPr>
      <w:rPr>
        <w:rFonts w:hint="default"/>
        <w:i w:val="0"/>
        <w:sz w:val="24"/>
      </w:rPr>
    </w:lvl>
    <w:lvl w:ilvl="6">
      <w:start w:val="1"/>
      <w:numFmt w:val="decimal"/>
      <w:lvlText w:val="%1.%2.%3.%4.%5.%6.%7."/>
      <w:lvlJc w:val="left"/>
      <w:pPr>
        <w:ind w:left="6186" w:hanging="1080"/>
      </w:pPr>
      <w:rPr>
        <w:rFonts w:hint="default"/>
        <w:i w:val="0"/>
        <w:sz w:val="24"/>
      </w:rPr>
    </w:lvl>
    <w:lvl w:ilvl="7">
      <w:start w:val="1"/>
      <w:numFmt w:val="decimal"/>
      <w:lvlText w:val="%1.%2.%3.%4.%5.%6.%7.%8."/>
      <w:lvlJc w:val="left"/>
      <w:pPr>
        <w:ind w:left="7397" w:hanging="1440"/>
      </w:pPr>
      <w:rPr>
        <w:rFonts w:hint="default"/>
        <w:i w:val="0"/>
        <w:sz w:val="24"/>
      </w:rPr>
    </w:lvl>
    <w:lvl w:ilvl="8">
      <w:start w:val="1"/>
      <w:numFmt w:val="decimal"/>
      <w:lvlText w:val="%1.%2.%3.%4.%5.%6.%7.%8.%9."/>
      <w:lvlJc w:val="left"/>
      <w:pPr>
        <w:ind w:left="8248" w:hanging="1440"/>
      </w:pPr>
      <w:rPr>
        <w:rFonts w:hint="default"/>
        <w:i w:val="0"/>
        <w:sz w:val="24"/>
      </w:rPr>
    </w:lvl>
  </w:abstractNum>
  <w:abstractNum w:abstractNumId="33" w15:restartNumberingAfterBreak="0">
    <w:nsid w:val="6E7255C1"/>
    <w:multiLevelType w:val="multilevel"/>
    <w:tmpl w:val="F3D6EB8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1D7064B"/>
    <w:multiLevelType w:val="multilevel"/>
    <w:tmpl w:val="6C883344"/>
    <w:lvl w:ilvl="0">
      <w:start w:val="13"/>
      <w:numFmt w:val="decimal"/>
      <w:lvlText w:val="%1."/>
      <w:lvlJc w:val="left"/>
      <w:pPr>
        <w:ind w:left="480" w:hanging="480"/>
      </w:pPr>
      <w:rPr>
        <w:rFonts w:hint="default"/>
      </w:rPr>
    </w:lvl>
    <w:lvl w:ilvl="1">
      <w:start w:val="1"/>
      <w:numFmt w:val="decimal"/>
      <w:lvlText w:val="%1.%2."/>
      <w:lvlJc w:val="left"/>
      <w:pPr>
        <w:ind w:left="1473"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22260A0"/>
    <w:multiLevelType w:val="multilevel"/>
    <w:tmpl w:val="68F05DC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2A61C79"/>
    <w:multiLevelType w:val="multilevel"/>
    <w:tmpl w:val="A1B88B6E"/>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75132A1D"/>
    <w:multiLevelType w:val="multilevel"/>
    <w:tmpl w:val="F0F69A5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1"/>
  </w:num>
  <w:num w:numId="2">
    <w:abstractNumId w:val="18"/>
  </w:num>
  <w:num w:numId="3">
    <w:abstractNumId w:val="36"/>
  </w:num>
  <w:num w:numId="4">
    <w:abstractNumId w:val="25"/>
  </w:num>
  <w:num w:numId="5">
    <w:abstractNumId w:val="32"/>
  </w:num>
  <w:num w:numId="6">
    <w:abstractNumId w:val="15"/>
  </w:num>
  <w:num w:numId="7">
    <w:abstractNumId w:val="22"/>
  </w:num>
  <w:num w:numId="8">
    <w:abstractNumId w:val="23"/>
  </w:num>
  <w:num w:numId="9">
    <w:abstractNumId w:val="37"/>
  </w:num>
  <w:num w:numId="10">
    <w:abstractNumId w:val="6"/>
  </w:num>
  <w:num w:numId="11">
    <w:abstractNumId w:val="27"/>
  </w:num>
  <w:num w:numId="12">
    <w:abstractNumId w:val="19"/>
  </w:num>
  <w:num w:numId="13">
    <w:abstractNumId w:val="1"/>
  </w:num>
  <w:num w:numId="14">
    <w:abstractNumId w:val="0"/>
  </w:num>
  <w:num w:numId="15">
    <w:abstractNumId w:val="9"/>
  </w:num>
  <w:num w:numId="16">
    <w:abstractNumId w:val="34"/>
  </w:num>
  <w:num w:numId="17">
    <w:abstractNumId w:val="10"/>
  </w:num>
  <w:num w:numId="18">
    <w:abstractNumId w:val="2"/>
  </w:num>
  <w:num w:numId="19">
    <w:abstractNumId w:val="11"/>
  </w:num>
  <w:num w:numId="20">
    <w:abstractNumId w:val="29"/>
  </w:num>
  <w:num w:numId="21">
    <w:abstractNumId w:val="8"/>
  </w:num>
  <w:num w:numId="22">
    <w:abstractNumId w:val="5"/>
  </w:num>
  <w:num w:numId="23">
    <w:abstractNumId w:val="26"/>
  </w:num>
  <w:num w:numId="24">
    <w:abstractNumId w:val="21"/>
  </w:num>
  <w:num w:numId="25">
    <w:abstractNumId w:val="13"/>
  </w:num>
  <w:num w:numId="26">
    <w:abstractNumId w:val="3"/>
  </w:num>
  <w:num w:numId="27">
    <w:abstractNumId w:val="28"/>
  </w:num>
  <w:num w:numId="28">
    <w:abstractNumId w:val="14"/>
  </w:num>
  <w:num w:numId="29">
    <w:abstractNumId w:val="17"/>
  </w:num>
  <w:num w:numId="30">
    <w:abstractNumId w:val="35"/>
  </w:num>
  <w:num w:numId="31">
    <w:abstractNumId w:val="30"/>
  </w:num>
  <w:num w:numId="32">
    <w:abstractNumId w:val="33"/>
  </w:num>
  <w:num w:numId="33">
    <w:abstractNumId w:val="16"/>
  </w:num>
  <w:num w:numId="34">
    <w:abstractNumId w:val="4"/>
  </w:num>
  <w:num w:numId="35">
    <w:abstractNumId w:val="12"/>
  </w:num>
  <w:num w:numId="36">
    <w:abstractNumId w:val="24"/>
  </w:num>
  <w:num w:numId="37">
    <w:abstractNumId w:val="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DF"/>
    <w:rsid w:val="000045FE"/>
    <w:rsid w:val="0001142F"/>
    <w:rsid w:val="00020D6B"/>
    <w:rsid w:val="00021DDE"/>
    <w:rsid w:val="00025CCB"/>
    <w:rsid w:val="00030783"/>
    <w:rsid w:val="00033EFB"/>
    <w:rsid w:val="000355CB"/>
    <w:rsid w:val="000415DE"/>
    <w:rsid w:val="000526B2"/>
    <w:rsid w:val="00052AC0"/>
    <w:rsid w:val="00054B4E"/>
    <w:rsid w:val="000770E5"/>
    <w:rsid w:val="000A68F5"/>
    <w:rsid w:val="000B1493"/>
    <w:rsid w:val="000D118D"/>
    <w:rsid w:val="000E071D"/>
    <w:rsid w:val="000E2D8E"/>
    <w:rsid w:val="000E48C9"/>
    <w:rsid w:val="000E61DC"/>
    <w:rsid w:val="000E6DBA"/>
    <w:rsid w:val="000F5231"/>
    <w:rsid w:val="0010216B"/>
    <w:rsid w:val="0010428F"/>
    <w:rsid w:val="001047F7"/>
    <w:rsid w:val="00112129"/>
    <w:rsid w:val="001148BA"/>
    <w:rsid w:val="00115795"/>
    <w:rsid w:val="001248B9"/>
    <w:rsid w:val="00167F75"/>
    <w:rsid w:val="00176599"/>
    <w:rsid w:val="00182448"/>
    <w:rsid w:val="0019700F"/>
    <w:rsid w:val="001A7689"/>
    <w:rsid w:val="001B3D4E"/>
    <w:rsid w:val="001B767A"/>
    <w:rsid w:val="001C67BD"/>
    <w:rsid w:val="001D367C"/>
    <w:rsid w:val="001F407E"/>
    <w:rsid w:val="00205C4A"/>
    <w:rsid w:val="00214CC4"/>
    <w:rsid w:val="00221E54"/>
    <w:rsid w:val="00234525"/>
    <w:rsid w:val="00236724"/>
    <w:rsid w:val="00240879"/>
    <w:rsid w:val="002502C7"/>
    <w:rsid w:val="00262DEE"/>
    <w:rsid w:val="002630FC"/>
    <w:rsid w:val="002704F7"/>
    <w:rsid w:val="00277D9F"/>
    <w:rsid w:val="00284121"/>
    <w:rsid w:val="002A2D36"/>
    <w:rsid w:val="002B44F1"/>
    <w:rsid w:val="002C07FD"/>
    <w:rsid w:val="002D56FA"/>
    <w:rsid w:val="002E0B9C"/>
    <w:rsid w:val="002E1906"/>
    <w:rsid w:val="00300D7B"/>
    <w:rsid w:val="00300F50"/>
    <w:rsid w:val="003023DD"/>
    <w:rsid w:val="003030CD"/>
    <w:rsid w:val="00307A9C"/>
    <w:rsid w:val="003432D3"/>
    <w:rsid w:val="003636D8"/>
    <w:rsid w:val="003829A6"/>
    <w:rsid w:val="003A55B2"/>
    <w:rsid w:val="003B049D"/>
    <w:rsid w:val="003E037A"/>
    <w:rsid w:val="003E21AE"/>
    <w:rsid w:val="003E5DBF"/>
    <w:rsid w:val="00401422"/>
    <w:rsid w:val="00403C48"/>
    <w:rsid w:val="00403EA5"/>
    <w:rsid w:val="00430F16"/>
    <w:rsid w:val="0043121C"/>
    <w:rsid w:val="00452FA1"/>
    <w:rsid w:val="00454613"/>
    <w:rsid w:val="00483639"/>
    <w:rsid w:val="004A23CB"/>
    <w:rsid w:val="004A33F3"/>
    <w:rsid w:val="004B0109"/>
    <w:rsid w:val="004B5683"/>
    <w:rsid w:val="004C06B2"/>
    <w:rsid w:val="004C5ABA"/>
    <w:rsid w:val="004E7B10"/>
    <w:rsid w:val="005067FD"/>
    <w:rsid w:val="00510339"/>
    <w:rsid w:val="00514436"/>
    <w:rsid w:val="005257AC"/>
    <w:rsid w:val="005374E1"/>
    <w:rsid w:val="00541022"/>
    <w:rsid w:val="00544CA2"/>
    <w:rsid w:val="00563878"/>
    <w:rsid w:val="005655DA"/>
    <w:rsid w:val="00572375"/>
    <w:rsid w:val="005773AA"/>
    <w:rsid w:val="00577734"/>
    <w:rsid w:val="00593D81"/>
    <w:rsid w:val="00594DA7"/>
    <w:rsid w:val="0059690A"/>
    <w:rsid w:val="005B0C3D"/>
    <w:rsid w:val="005B4363"/>
    <w:rsid w:val="005B61DF"/>
    <w:rsid w:val="005C293A"/>
    <w:rsid w:val="005C6BEF"/>
    <w:rsid w:val="005D0777"/>
    <w:rsid w:val="005D352F"/>
    <w:rsid w:val="005F028A"/>
    <w:rsid w:val="005F450A"/>
    <w:rsid w:val="0060459D"/>
    <w:rsid w:val="00607FF6"/>
    <w:rsid w:val="006107EC"/>
    <w:rsid w:val="00612E13"/>
    <w:rsid w:val="006139B3"/>
    <w:rsid w:val="00615C22"/>
    <w:rsid w:val="00642AF4"/>
    <w:rsid w:val="00644AA6"/>
    <w:rsid w:val="00647807"/>
    <w:rsid w:val="0065740D"/>
    <w:rsid w:val="00673960"/>
    <w:rsid w:val="00696DB4"/>
    <w:rsid w:val="006A3EA8"/>
    <w:rsid w:val="006B1EDF"/>
    <w:rsid w:val="006D14E4"/>
    <w:rsid w:val="006D2117"/>
    <w:rsid w:val="006D2734"/>
    <w:rsid w:val="006E6563"/>
    <w:rsid w:val="006F2B2C"/>
    <w:rsid w:val="00716ECA"/>
    <w:rsid w:val="0074685D"/>
    <w:rsid w:val="007512D9"/>
    <w:rsid w:val="00753881"/>
    <w:rsid w:val="007671BD"/>
    <w:rsid w:val="007762CA"/>
    <w:rsid w:val="007779D9"/>
    <w:rsid w:val="00782AB0"/>
    <w:rsid w:val="007C11D3"/>
    <w:rsid w:val="007D6584"/>
    <w:rsid w:val="0080434E"/>
    <w:rsid w:val="00823991"/>
    <w:rsid w:val="00827E1E"/>
    <w:rsid w:val="008437E3"/>
    <w:rsid w:val="008550AE"/>
    <w:rsid w:val="00860E5E"/>
    <w:rsid w:val="00870363"/>
    <w:rsid w:val="008715C4"/>
    <w:rsid w:val="00876D36"/>
    <w:rsid w:val="008811B3"/>
    <w:rsid w:val="00893DF8"/>
    <w:rsid w:val="008A46C1"/>
    <w:rsid w:val="008B6D60"/>
    <w:rsid w:val="008F17B3"/>
    <w:rsid w:val="008F7E0E"/>
    <w:rsid w:val="00900454"/>
    <w:rsid w:val="00900EF3"/>
    <w:rsid w:val="00904873"/>
    <w:rsid w:val="009269C7"/>
    <w:rsid w:val="00935BFA"/>
    <w:rsid w:val="009409C4"/>
    <w:rsid w:val="0095215E"/>
    <w:rsid w:val="00952A95"/>
    <w:rsid w:val="00960D15"/>
    <w:rsid w:val="0096131A"/>
    <w:rsid w:val="00977904"/>
    <w:rsid w:val="00995B28"/>
    <w:rsid w:val="009A676B"/>
    <w:rsid w:val="009B005B"/>
    <w:rsid w:val="009B19AF"/>
    <w:rsid w:val="009B4096"/>
    <w:rsid w:val="009E5AD0"/>
    <w:rsid w:val="009E69A0"/>
    <w:rsid w:val="00A162C5"/>
    <w:rsid w:val="00A22504"/>
    <w:rsid w:val="00A33274"/>
    <w:rsid w:val="00A36942"/>
    <w:rsid w:val="00A52176"/>
    <w:rsid w:val="00A56515"/>
    <w:rsid w:val="00A70F74"/>
    <w:rsid w:val="00A72E50"/>
    <w:rsid w:val="00A72E7B"/>
    <w:rsid w:val="00AA7FF7"/>
    <w:rsid w:val="00AB4A1C"/>
    <w:rsid w:val="00AB6830"/>
    <w:rsid w:val="00AB7C67"/>
    <w:rsid w:val="00AC3379"/>
    <w:rsid w:val="00AD5B6E"/>
    <w:rsid w:val="00AD7BC9"/>
    <w:rsid w:val="00AE0902"/>
    <w:rsid w:val="00AE0FFD"/>
    <w:rsid w:val="00AE753F"/>
    <w:rsid w:val="00AF5BFC"/>
    <w:rsid w:val="00B239A9"/>
    <w:rsid w:val="00B27F61"/>
    <w:rsid w:val="00B41CC0"/>
    <w:rsid w:val="00B43BF8"/>
    <w:rsid w:val="00B7291C"/>
    <w:rsid w:val="00B908CC"/>
    <w:rsid w:val="00B93223"/>
    <w:rsid w:val="00B95855"/>
    <w:rsid w:val="00B95D60"/>
    <w:rsid w:val="00B976D2"/>
    <w:rsid w:val="00BA3E92"/>
    <w:rsid w:val="00BA53E6"/>
    <w:rsid w:val="00BA5982"/>
    <w:rsid w:val="00BC1522"/>
    <w:rsid w:val="00BD3777"/>
    <w:rsid w:val="00BD5700"/>
    <w:rsid w:val="00BE0FFE"/>
    <w:rsid w:val="00BE6B1C"/>
    <w:rsid w:val="00C373F2"/>
    <w:rsid w:val="00C42292"/>
    <w:rsid w:val="00C61434"/>
    <w:rsid w:val="00C65D90"/>
    <w:rsid w:val="00CA5F5F"/>
    <w:rsid w:val="00CB262E"/>
    <w:rsid w:val="00CB7E30"/>
    <w:rsid w:val="00CD1EC0"/>
    <w:rsid w:val="00CD5089"/>
    <w:rsid w:val="00D05B0B"/>
    <w:rsid w:val="00D267B6"/>
    <w:rsid w:val="00D27725"/>
    <w:rsid w:val="00D3108D"/>
    <w:rsid w:val="00D33667"/>
    <w:rsid w:val="00D5019F"/>
    <w:rsid w:val="00D55AA2"/>
    <w:rsid w:val="00D6228B"/>
    <w:rsid w:val="00D6462E"/>
    <w:rsid w:val="00D81BAA"/>
    <w:rsid w:val="00DA7A30"/>
    <w:rsid w:val="00DC009C"/>
    <w:rsid w:val="00DE3C3B"/>
    <w:rsid w:val="00DE51DA"/>
    <w:rsid w:val="00DF6C29"/>
    <w:rsid w:val="00E25897"/>
    <w:rsid w:val="00E3405F"/>
    <w:rsid w:val="00E343B9"/>
    <w:rsid w:val="00E5712D"/>
    <w:rsid w:val="00E67F67"/>
    <w:rsid w:val="00E71389"/>
    <w:rsid w:val="00E873C9"/>
    <w:rsid w:val="00EA6376"/>
    <w:rsid w:val="00EA7B57"/>
    <w:rsid w:val="00EC06E0"/>
    <w:rsid w:val="00ED3D5B"/>
    <w:rsid w:val="00EE78AF"/>
    <w:rsid w:val="00EF324B"/>
    <w:rsid w:val="00F01A4E"/>
    <w:rsid w:val="00F02168"/>
    <w:rsid w:val="00F24A9C"/>
    <w:rsid w:val="00F47D49"/>
    <w:rsid w:val="00F55243"/>
    <w:rsid w:val="00F60AD7"/>
    <w:rsid w:val="00F66416"/>
    <w:rsid w:val="00F7265F"/>
    <w:rsid w:val="00F73AAC"/>
    <w:rsid w:val="00F73BF7"/>
    <w:rsid w:val="00F80752"/>
    <w:rsid w:val="00FA3F05"/>
    <w:rsid w:val="00FC3816"/>
    <w:rsid w:val="00FD3622"/>
    <w:rsid w:val="00FD709B"/>
    <w:rsid w:val="00FF2E05"/>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1FBFE"/>
  <w15:chartTrackingRefBased/>
  <w15:docId w15:val="{3A394A98-4E3A-42D5-836C-798A50FC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A3E92"/>
    <w:pPr>
      <w:keepNext/>
      <w:keepLines/>
      <w:overflowPunct w:val="0"/>
      <w:autoSpaceDE w:val="0"/>
      <w:autoSpaceDN w:val="0"/>
      <w:adjustRightInd w:val="0"/>
      <w:spacing w:before="360" w:after="80" w:line="312" w:lineRule="auto"/>
      <w:textAlignment w:val="baseline"/>
      <w:outlineLvl w:val="0"/>
    </w:pPr>
    <w:rPr>
      <w:rFonts w:asciiTheme="majorHAnsi" w:eastAsiaTheme="majorEastAsia" w:hAnsiTheme="majorHAnsi" w:cstheme="majorBidi"/>
      <w:color w:val="2E74B5" w:themeColor="accent1" w:themeShade="BF"/>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1EDF"/>
    <w:pPr>
      <w:spacing w:before="100" w:beforeAutospacing="1" w:after="100" w:afterAutospacing="1"/>
    </w:pPr>
  </w:style>
  <w:style w:type="paragraph" w:styleId="ListParagraph">
    <w:name w:val="List Paragraph"/>
    <w:basedOn w:val="Normal"/>
    <w:uiPriority w:val="34"/>
    <w:qFormat/>
    <w:rsid w:val="006B1EDF"/>
    <w:pPr>
      <w:ind w:left="720"/>
      <w:contextualSpacing/>
    </w:pPr>
  </w:style>
  <w:style w:type="paragraph" w:customStyle="1" w:styleId="Style6">
    <w:name w:val="Style6"/>
    <w:basedOn w:val="Normal"/>
    <w:rsid w:val="006B1EDF"/>
    <w:pPr>
      <w:widowControl w:val="0"/>
      <w:autoSpaceDE w:val="0"/>
      <w:autoSpaceDN w:val="0"/>
      <w:adjustRightInd w:val="0"/>
      <w:spacing w:line="252" w:lineRule="exact"/>
      <w:ind w:hanging="518"/>
      <w:jc w:val="both"/>
    </w:pPr>
    <w:rPr>
      <w:rFonts w:ascii="Arial" w:hAnsi="Arial"/>
    </w:rPr>
  </w:style>
  <w:style w:type="paragraph" w:customStyle="1" w:styleId="tv213">
    <w:name w:val="tv213"/>
    <w:basedOn w:val="Normal"/>
    <w:rsid w:val="00B976D2"/>
    <w:pPr>
      <w:spacing w:before="100" w:beforeAutospacing="1" w:after="100" w:afterAutospacing="1"/>
    </w:pPr>
  </w:style>
  <w:style w:type="character" w:styleId="CommentReference">
    <w:name w:val="annotation reference"/>
    <w:basedOn w:val="DefaultParagraphFont"/>
    <w:rsid w:val="00D81BAA"/>
    <w:rPr>
      <w:sz w:val="16"/>
      <w:szCs w:val="16"/>
    </w:rPr>
  </w:style>
  <w:style w:type="paragraph" w:styleId="CommentText">
    <w:name w:val="annotation text"/>
    <w:basedOn w:val="Normal"/>
    <w:link w:val="CommentTextChar"/>
    <w:rsid w:val="00D81BAA"/>
    <w:rPr>
      <w:sz w:val="20"/>
      <w:szCs w:val="20"/>
    </w:rPr>
  </w:style>
  <w:style w:type="character" w:customStyle="1" w:styleId="CommentTextChar">
    <w:name w:val="Comment Text Char"/>
    <w:basedOn w:val="DefaultParagraphFont"/>
    <w:link w:val="CommentText"/>
    <w:rsid w:val="00D81BAA"/>
  </w:style>
  <w:style w:type="paragraph" w:styleId="CommentSubject">
    <w:name w:val="annotation subject"/>
    <w:basedOn w:val="CommentText"/>
    <w:next w:val="CommentText"/>
    <w:link w:val="CommentSubjectChar"/>
    <w:rsid w:val="00D81BAA"/>
    <w:rPr>
      <w:b/>
      <w:bCs/>
    </w:rPr>
  </w:style>
  <w:style w:type="character" w:customStyle="1" w:styleId="CommentSubjectChar">
    <w:name w:val="Comment Subject Char"/>
    <w:basedOn w:val="CommentTextChar"/>
    <w:link w:val="CommentSubject"/>
    <w:rsid w:val="00D81BAA"/>
    <w:rPr>
      <w:b/>
      <w:bCs/>
    </w:rPr>
  </w:style>
  <w:style w:type="paragraph" w:styleId="BalloonText">
    <w:name w:val="Balloon Text"/>
    <w:basedOn w:val="Normal"/>
    <w:link w:val="BalloonTextChar"/>
    <w:rsid w:val="00D81BAA"/>
    <w:rPr>
      <w:rFonts w:ascii="Segoe UI" w:hAnsi="Segoe UI" w:cs="Segoe UI"/>
      <w:sz w:val="18"/>
      <w:szCs w:val="18"/>
    </w:rPr>
  </w:style>
  <w:style w:type="character" w:customStyle="1" w:styleId="BalloonTextChar">
    <w:name w:val="Balloon Text Char"/>
    <w:basedOn w:val="DefaultParagraphFont"/>
    <w:link w:val="BalloonText"/>
    <w:rsid w:val="00D81BAA"/>
    <w:rPr>
      <w:rFonts w:ascii="Segoe UI" w:hAnsi="Segoe UI" w:cs="Segoe UI"/>
      <w:sz w:val="18"/>
      <w:szCs w:val="18"/>
    </w:rPr>
  </w:style>
  <w:style w:type="paragraph" w:customStyle="1" w:styleId="labojumupamats">
    <w:name w:val="labojumu_pamats"/>
    <w:basedOn w:val="Normal"/>
    <w:rsid w:val="00C65D90"/>
    <w:pPr>
      <w:spacing w:before="100" w:beforeAutospacing="1" w:after="100" w:afterAutospacing="1"/>
    </w:pPr>
  </w:style>
  <w:style w:type="character" w:styleId="Emphasis">
    <w:name w:val="Emphasis"/>
    <w:basedOn w:val="DefaultParagraphFont"/>
    <w:uiPriority w:val="20"/>
    <w:qFormat/>
    <w:rsid w:val="001148BA"/>
    <w:rPr>
      <w:i/>
      <w:iCs/>
    </w:rPr>
  </w:style>
  <w:style w:type="paragraph" w:styleId="Revision">
    <w:name w:val="Revision"/>
    <w:hidden/>
    <w:uiPriority w:val="99"/>
    <w:semiHidden/>
    <w:rsid w:val="004E7B10"/>
    <w:rPr>
      <w:sz w:val="24"/>
      <w:szCs w:val="24"/>
    </w:rPr>
  </w:style>
  <w:style w:type="character" w:customStyle="1" w:styleId="FooterChar">
    <w:name w:val="Footer Char"/>
    <w:basedOn w:val="DefaultParagraphFont"/>
    <w:link w:val="Footer"/>
    <w:uiPriority w:val="99"/>
    <w:rsid w:val="006107EC"/>
    <w:rPr>
      <w:sz w:val="24"/>
      <w:szCs w:val="24"/>
    </w:rPr>
  </w:style>
  <w:style w:type="character" w:customStyle="1" w:styleId="HeaderChar">
    <w:name w:val="Header Char"/>
    <w:basedOn w:val="DefaultParagraphFont"/>
    <w:link w:val="Header"/>
    <w:rsid w:val="002D56FA"/>
    <w:rPr>
      <w:sz w:val="24"/>
      <w:szCs w:val="24"/>
    </w:rPr>
  </w:style>
  <w:style w:type="character" w:customStyle="1" w:styleId="Heading1Char">
    <w:name w:val="Heading 1 Char"/>
    <w:basedOn w:val="DefaultParagraphFont"/>
    <w:link w:val="Heading1"/>
    <w:uiPriority w:val="9"/>
    <w:rsid w:val="00BA3E92"/>
    <w:rPr>
      <w:rFonts w:asciiTheme="majorHAnsi" w:eastAsiaTheme="majorEastAsia" w:hAnsiTheme="majorHAnsi" w:cstheme="majorBidi"/>
      <w:color w:val="2E74B5" w:themeColor="accent1" w:themeShade="BF"/>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8668">
      <w:bodyDiv w:val="1"/>
      <w:marLeft w:val="0"/>
      <w:marRight w:val="0"/>
      <w:marTop w:val="0"/>
      <w:marBottom w:val="0"/>
      <w:divBdr>
        <w:top w:val="none" w:sz="0" w:space="0" w:color="auto"/>
        <w:left w:val="none" w:sz="0" w:space="0" w:color="auto"/>
        <w:bottom w:val="none" w:sz="0" w:space="0" w:color="auto"/>
        <w:right w:val="none" w:sz="0" w:space="0" w:color="auto"/>
      </w:divBdr>
    </w:div>
    <w:div w:id="581724263">
      <w:bodyDiv w:val="1"/>
      <w:marLeft w:val="0"/>
      <w:marRight w:val="0"/>
      <w:marTop w:val="0"/>
      <w:marBottom w:val="0"/>
      <w:divBdr>
        <w:top w:val="none" w:sz="0" w:space="0" w:color="auto"/>
        <w:left w:val="none" w:sz="0" w:space="0" w:color="auto"/>
        <w:bottom w:val="none" w:sz="0" w:space="0" w:color="auto"/>
        <w:right w:val="none" w:sz="0" w:space="0" w:color="auto"/>
      </w:divBdr>
      <w:divsChild>
        <w:div w:id="1187985569">
          <w:marLeft w:val="0"/>
          <w:marRight w:val="0"/>
          <w:marTop w:val="0"/>
          <w:marBottom w:val="0"/>
          <w:divBdr>
            <w:top w:val="none" w:sz="0" w:space="0" w:color="auto"/>
            <w:left w:val="none" w:sz="0" w:space="0" w:color="auto"/>
            <w:bottom w:val="none" w:sz="0" w:space="0" w:color="auto"/>
            <w:right w:val="none" w:sz="0" w:space="0" w:color="auto"/>
          </w:divBdr>
        </w:div>
        <w:div w:id="2136756781">
          <w:marLeft w:val="0"/>
          <w:marRight w:val="0"/>
          <w:marTop w:val="0"/>
          <w:marBottom w:val="0"/>
          <w:divBdr>
            <w:top w:val="none" w:sz="0" w:space="0" w:color="auto"/>
            <w:left w:val="none" w:sz="0" w:space="0" w:color="auto"/>
            <w:bottom w:val="none" w:sz="0" w:space="0" w:color="auto"/>
            <w:right w:val="none" w:sz="0" w:space="0" w:color="auto"/>
          </w:divBdr>
        </w:div>
        <w:div w:id="670258608">
          <w:marLeft w:val="0"/>
          <w:marRight w:val="0"/>
          <w:marTop w:val="0"/>
          <w:marBottom w:val="0"/>
          <w:divBdr>
            <w:top w:val="none" w:sz="0" w:space="0" w:color="auto"/>
            <w:left w:val="none" w:sz="0" w:space="0" w:color="auto"/>
            <w:bottom w:val="none" w:sz="0" w:space="0" w:color="auto"/>
            <w:right w:val="none" w:sz="0" w:space="0" w:color="auto"/>
          </w:divBdr>
        </w:div>
        <w:div w:id="1638148002">
          <w:marLeft w:val="0"/>
          <w:marRight w:val="0"/>
          <w:marTop w:val="0"/>
          <w:marBottom w:val="0"/>
          <w:divBdr>
            <w:top w:val="none" w:sz="0" w:space="0" w:color="auto"/>
            <w:left w:val="none" w:sz="0" w:space="0" w:color="auto"/>
            <w:bottom w:val="none" w:sz="0" w:space="0" w:color="auto"/>
            <w:right w:val="none" w:sz="0" w:space="0" w:color="auto"/>
          </w:divBdr>
        </w:div>
        <w:div w:id="311717472">
          <w:marLeft w:val="0"/>
          <w:marRight w:val="0"/>
          <w:marTop w:val="0"/>
          <w:marBottom w:val="0"/>
          <w:divBdr>
            <w:top w:val="none" w:sz="0" w:space="0" w:color="auto"/>
            <w:left w:val="none" w:sz="0" w:space="0" w:color="auto"/>
            <w:bottom w:val="none" w:sz="0" w:space="0" w:color="auto"/>
            <w:right w:val="none" w:sz="0" w:space="0" w:color="auto"/>
          </w:divBdr>
        </w:div>
        <w:div w:id="1945965175">
          <w:marLeft w:val="0"/>
          <w:marRight w:val="0"/>
          <w:marTop w:val="0"/>
          <w:marBottom w:val="0"/>
          <w:divBdr>
            <w:top w:val="none" w:sz="0" w:space="0" w:color="auto"/>
            <w:left w:val="none" w:sz="0" w:space="0" w:color="auto"/>
            <w:bottom w:val="none" w:sz="0" w:space="0" w:color="auto"/>
            <w:right w:val="none" w:sz="0" w:space="0" w:color="auto"/>
          </w:divBdr>
        </w:div>
        <w:div w:id="2099866584">
          <w:marLeft w:val="0"/>
          <w:marRight w:val="0"/>
          <w:marTop w:val="0"/>
          <w:marBottom w:val="0"/>
          <w:divBdr>
            <w:top w:val="none" w:sz="0" w:space="0" w:color="auto"/>
            <w:left w:val="none" w:sz="0" w:space="0" w:color="auto"/>
            <w:bottom w:val="none" w:sz="0" w:space="0" w:color="auto"/>
            <w:right w:val="none" w:sz="0" w:space="0" w:color="auto"/>
          </w:divBdr>
        </w:div>
        <w:div w:id="1996301564">
          <w:marLeft w:val="0"/>
          <w:marRight w:val="0"/>
          <w:marTop w:val="0"/>
          <w:marBottom w:val="0"/>
          <w:divBdr>
            <w:top w:val="none" w:sz="0" w:space="0" w:color="auto"/>
            <w:left w:val="none" w:sz="0" w:space="0" w:color="auto"/>
            <w:bottom w:val="none" w:sz="0" w:space="0" w:color="auto"/>
            <w:right w:val="none" w:sz="0" w:space="0" w:color="auto"/>
          </w:divBdr>
        </w:div>
        <w:div w:id="1844858069">
          <w:marLeft w:val="0"/>
          <w:marRight w:val="0"/>
          <w:marTop w:val="0"/>
          <w:marBottom w:val="0"/>
          <w:divBdr>
            <w:top w:val="none" w:sz="0" w:space="0" w:color="auto"/>
            <w:left w:val="none" w:sz="0" w:space="0" w:color="auto"/>
            <w:bottom w:val="none" w:sz="0" w:space="0" w:color="auto"/>
            <w:right w:val="none" w:sz="0" w:space="0" w:color="auto"/>
          </w:divBdr>
        </w:div>
        <w:div w:id="382171568">
          <w:marLeft w:val="0"/>
          <w:marRight w:val="0"/>
          <w:marTop w:val="0"/>
          <w:marBottom w:val="0"/>
          <w:divBdr>
            <w:top w:val="none" w:sz="0" w:space="0" w:color="auto"/>
            <w:left w:val="none" w:sz="0" w:space="0" w:color="auto"/>
            <w:bottom w:val="none" w:sz="0" w:space="0" w:color="auto"/>
            <w:right w:val="none" w:sz="0" w:space="0" w:color="auto"/>
          </w:divBdr>
        </w:div>
        <w:div w:id="1950550591">
          <w:marLeft w:val="0"/>
          <w:marRight w:val="0"/>
          <w:marTop w:val="0"/>
          <w:marBottom w:val="0"/>
          <w:divBdr>
            <w:top w:val="none" w:sz="0" w:space="0" w:color="auto"/>
            <w:left w:val="none" w:sz="0" w:space="0" w:color="auto"/>
            <w:bottom w:val="none" w:sz="0" w:space="0" w:color="auto"/>
            <w:right w:val="none" w:sz="0" w:space="0" w:color="auto"/>
          </w:divBdr>
        </w:div>
      </w:divsChild>
    </w:div>
    <w:div w:id="806751014">
      <w:bodyDiv w:val="1"/>
      <w:marLeft w:val="0"/>
      <w:marRight w:val="0"/>
      <w:marTop w:val="0"/>
      <w:marBottom w:val="0"/>
      <w:divBdr>
        <w:top w:val="none" w:sz="0" w:space="0" w:color="auto"/>
        <w:left w:val="none" w:sz="0" w:space="0" w:color="auto"/>
        <w:bottom w:val="none" w:sz="0" w:space="0" w:color="auto"/>
        <w:right w:val="none" w:sz="0" w:space="0" w:color="auto"/>
      </w:divBdr>
    </w:div>
    <w:div w:id="202901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49379" TargetMode="External"/><Relationship Id="rId13" Type="http://schemas.openxmlformats.org/officeDocument/2006/relationships/hyperlink" Target="http://eur-lex.europa.eu/eli/reg/2023/2831/oj/?locale=LV" TargetMode="External"/><Relationship Id="rId18" Type="http://schemas.openxmlformats.org/officeDocument/2006/relationships/hyperlink" Target="http://eur-lex.europa.eu/eli/reg/2023/2831/oj/?locale=L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eur-lex.europa.eu/eli/reg/2023/2831/oj/?locale=LV" TargetMode="External"/><Relationship Id="rId7" Type="http://schemas.openxmlformats.org/officeDocument/2006/relationships/hyperlink" Target="http://www.jelgava.lv" TargetMode="External"/><Relationship Id="rId12" Type="http://schemas.openxmlformats.org/officeDocument/2006/relationships/hyperlink" Target="https://eur-lex.europa.eu/legal-content/LV/TXT/?uri=CELEX:32023R2831" TargetMode="External"/><Relationship Id="rId17" Type="http://schemas.openxmlformats.org/officeDocument/2006/relationships/hyperlink" Target="http://eur-lex.europa.eu/eli/reg/2023/2831/oj/?locale=LV" TargetMode="External"/><Relationship Id="rId25" Type="http://schemas.openxmlformats.org/officeDocument/2006/relationships/hyperlink" Target="https://likumi.lv/ta/id/267199-komercdarbibas-atbalsta-kontroles-likums" TargetMode="External"/><Relationship Id="rId2" Type="http://schemas.openxmlformats.org/officeDocument/2006/relationships/styles" Target="styles.xml"/><Relationship Id="rId16" Type="http://schemas.openxmlformats.org/officeDocument/2006/relationships/hyperlink" Target="http://eur-lex.europa.eu/eli/reg/2023/2831/oj/?locale=LV" TargetMode="External"/><Relationship Id="rId20" Type="http://schemas.openxmlformats.org/officeDocument/2006/relationships/hyperlink" Target="http://eur-lex.europa.eu/eli/reg/2023/2831/oj/?locale=L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eli/reg/2023/2831/oj/?locale=LV" TargetMode="External"/><Relationship Id="rId24" Type="http://schemas.openxmlformats.org/officeDocument/2006/relationships/hyperlink" Target="http://eur-lex.europa.eu/eli/reg/2023/2831/oj/?locale=LV" TargetMode="External"/><Relationship Id="rId5" Type="http://schemas.openxmlformats.org/officeDocument/2006/relationships/footnotes" Target="footnotes.xml"/><Relationship Id="rId15" Type="http://schemas.openxmlformats.org/officeDocument/2006/relationships/hyperlink" Target="http://eur-lex.europa.eu/eli/reg/2023/2831/oj/?locale=LV" TargetMode="External"/><Relationship Id="rId23" Type="http://schemas.openxmlformats.org/officeDocument/2006/relationships/hyperlink" Target="http://eur-lex.europa.eu/eli/reg/2023/2831/oj/?locale=LV" TargetMode="External"/><Relationship Id="rId28" Type="http://schemas.openxmlformats.org/officeDocument/2006/relationships/fontTable" Target="fontTable.xml"/><Relationship Id="rId10" Type="http://schemas.openxmlformats.org/officeDocument/2006/relationships/hyperlink" Target="https://likumi.lv/ta/id/267199-komercdarbibas-atbalsta-kontroles-likums" TargetMode="External"/><Relationship Id="rId19" Type="http://schemas.openxmlformats.org/officeDocument/2006/relationships/hyperlink" Target="http://eur-lex.europa.eu/eli/reg/2023/2831/oj/?locale=LV" TargetMode="External"/><Relationship Id="rId4" Type="http://schemas.openxmlformats.org/officeDocument/2006/relationships/webSettings" Target="webSettings.xml"/><Relationship Id="rId9" Type="http://schemas.openxmlformats.org/officeDocument/2006/relationships/hyperlink" Target="https://likumi.lv/ta/id/267199-komercdarbibas-atbalsta-kontroles-likums" TargetMode="External"/><Relationship Id="rId14" Type="http://schemas.openxmlformats.org/officeDocument/2006/relationships/hyperlink" Target="http://eur-lex.europa.eu/eli/reg/2023/2831/oj/?locale=LV" TargetMode="External"/><Relationship Id="rId22" Type="http://schemas.openxmlformats.org/officeDocument/2006/relationships/hyperlink" Target="http://eur-lex.europa.eu/eli/reg/2023/2831/oj/?locale=LV"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13208</Words>
  <Characters>7530</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Baiba Jēkabsone</dc:creator>
  <cp:keywords/>
  <dc:description/>
  <cp:lastModifiedBy>Baiba Jēkabsone</cp:lastModifiedBy>
  <cp:revision>3</cp:revision>
  <cp:lastPrinted>2026-02-25T10:53:00Z</cp:lastPrinted>
  <dcterms:created xsi:type="dcterms:W3CDTF">2026-03-04T08:05:00Z</dcterms:created>
  <dcterms:modified xsi:type="dcterms:W3CDTF">2026-03-04T08:06:00Z</dcterms:modified>
</cp:coreProperties>
</file>